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9E925" w14:textId="77777777" w:rsidR="00F00DD8" w:rsidRDefault="00F00DD8" w:rsidP="00FB4C21">
      <w:pPr>
        <w:pStyle w:val="Title"/>
      </w:pPr>
      <w:r>
        <w:t xml:space="preserve">Identifying hotspots of environmental impact in the development of novel inorganic polymer paving blocks from Bauxite Residue </w:t>
      </w:r>
    </w:p>
    <w:p w14:paraId="1502015E" w14:textId="1CD58326" w:rsidR="00F00DD8" w:rsidRPr="004124EC" w:rsidRDefault="00F00DD8" w:rsidP="00894BFE">
      <w:r w:rsidRPr="004124EC">
        <w:t>P. James Joyce</w:t>
      </w:r>
      <w:r w:rsidRPr="004124EC">
        <w:rPr>
          <w:vertAlign w:val="superscript"/>
        </w:rPr>
        <w:t>1</w:t>
      </w:r>
      <w:r w:rsidR="00E16852">
        <w:rPr>
          <w:vertAlign w:val="superscript"/>
        </w:rPr>
        <w:t>*</w:t>
      </w:r>
      <w:r w:rsidRPr="004124EC">
        <w:t>, Tobias Hertel</w:t>
      </w:r>
      <w:r w:rsidRPr="004124EC">
        <w:rPr>
          <w:vertAlign w:val="superscript"/>
        </w:rPr>
        <w:t>2</w:t>
      </w:r>
      <w:r w:rsidRPr="004124EC">
        <w:t>, Andrei Goronovski</w:t>
      </w:r>
      <w:r w:rsidRPr="004124EC">
        <w:rPr>
          <w:vertAlign w:val="superscript"/>
        </w:rPr>
        <w:t>3</w:t>
      </w:r>
      <w:r w:rsidRPr="004124EC">
        <w:t>, Alan H Tkaczyk</w:t>
      </w:r>
      <w:r w:rsidRPr="004124EC">
        <w:rPr>
          <w:vertAlign w:val="superscript"/>
        </w:rPr>
        <w:t>3</w:t>
      </w:r>
      <w:r w:rsidRPr="004124EC">
        <w:t>, Yiannis Pontikes</w:t>
      </w:r>
      <w:r w:rsidRPr="004124EC">
        <w:rPr>
          <w:vertAlign w:val="superscript"/>
        </w:rPr>
        <w:t>2</w:t>
      </w:r>
      <w:r w:rsidRPr="004124EC">
        <w:t>, Anna Björklund</w:t>
      </w:r>
      <w:r w:rsidRPr="004124EC">
        <w:rPr>
          <w:vertAlign w:val="superscript"/>
        </w:rPr>
        <w:t>1</w:t>
      </w:r>
    </w:p>
    <w:p w14:paraId="08FB2D39" w14:textId="73C582F1" w:rsidR="00F00DD8" w:rsidRDefault="00F00DD8" w:rsidP="00E16852">
      <w:pPr>
        <w:pStyle w:val="ListParagraph"/>
        <w:numPr>
          <w:ilvl w:val="0"/>
          <w:numId w:val="3"/>
        </w:numPr>
      </w:pPr>
      <w:r>
        <w:t>KTH</w:t>
      </w:r>
      <w:r w:rsidR="00E16852">
        <w:t xml:space="preserve"> </w:t>
      </w:r>
      <w:r w:rsidR="00E16852" w:rsidRPr="00E16852">
        <w:t>Royal Institute of Technology, Department of Sustainable Development, Environmental Sciences and Engineering, School of Architecture and the Built Environment, SE-100 44 Stockholm, Sweden</w:t>
      </w:r>
    </w:p>
    <w:p w14:paraId="27028E6B" w14:textId="18485A41" w:rsidR="00F00DD8" w:rsidRDefault="00F00DD8" w:rsidP="00E16852">
      <w:pPr>
        <w:pStyle w:val="ListParagraph"/>
        <w:numPr>
          <w:ilvl w:val="0"/>
          <w:numId w:val="3"/>
        </w:numPr>
      </w:pPr>
      <w:r>
        <w:t>KU Leuven</w:t>
      </w:r>
      <w:r w:rsidR="00E16852">
        <w:t xml:space="preserve">, Sustainable Metals Processing and Recycling, </w:t>
      </w:r>
      <w:proofErr w:type="spellStart"/>
      <w:r w:rsidR="00E16852">
        <w:t>Kasteelpark</w:t>
      </w:r>
      <w:proofErr w:type="spellEnd"/>
      <w:r w:rsidR="00E16852">
        <w:t xml:space="preserve"> </w:t>
      </w:r>
      <w:proofErr w:type="spellStart"/>
      <w:r w:rsidR="00E16852">
        <w:t>Arenberg</w:t>
      </w:r>
      <w:proofErr w:type="spellEnd"/>
      <w:r w:rsidR="00E16852">
        <w:t xml:space="preserve"> 44, 3001 Leuven</w:t>
      </w:r>
    </w:p>
    <w:p w14:paraId="281E66E1" w14:textId="28559519" w:rsidR="00F00DD8" w:rsidRDefault="00F00DD8" w:rsidP="00E16852">
      <w:pPr>
        <w:pStyle w:val="ListParagraph"/>
        <w:numPr>
          <w:ilvl w:val="0"/>
          <w:numId w:val="3"/>
        </w:numPr>
      </w:pPr>
      <w:r>
        <w:t>University of Tartu</w:t>
      </w:r>
      <w:r w:rsidR="00E16852" w:rsidRPr="00E16852">
        <w:t xml:space="preserve">, Institute of Physics, </w:t>
      </w:r>
      <w:proofErr w:type="spellStart"/>
      <w:r w:rsidR="00E16852" w:rsidRPr="00E16852">
        <w:t>Ostwaldi</w:t>
      </w:r>
      <w:proofErr w:type="spellEnd"/>
      <w:r w:rsidR="00E16852" w:rsidRPr="00E16852">
        <w:t xml:space="preserve"> 1, 50411 Tartu, Estonia</w:t>
      </w:r>
    </w:p>
    <w:p w14:paraId="46151010" w14:textId="04E5A477" w:rsidR="00E16852" w:rsidRDefault="00E16852" w:rsidP="00E16852">
      <w:r>
        <w:t xml:space="preserve">* </w:t>
      </w:r>
      <w:proofErr w:type="gramStart"/>
      <w:r>
        <w:t>corresponding</w:t>
      </w:r>
      <w:proofErr w:type="gramEnd"/>
      <w:r>
        <w:t xml:space="preserve"> author: pjjoyce@kth.se</w:t>
      </w:r>
    </w:p>
    <w:p w14:paraId="315D8E92" w14:textId="77777777" w:rsidR="00F00DD8" w:rsidRDefault="00F00DD8" w:rsidP="005C4F48">
      <w:pPr>
        <w:pStyle w:val="Heading1"/>
        <w:numPr>
          <w:ilvl w:val="0"/>
          <w:numId w:val="0"/>
        </w:numPr>
        <w:tabs>
          <w:tab w:val="left" w:pos="7067"/>
        </w:tabs>
      </w:pPr>
      <w:r>
        <w:t>Abstract</w:t>
      </w:r>
      <w:r>
        <w:tab/>
      </w:r>
    </w:p>
    <w:p w14:paraId="6D333FCB" w14:textId="5443DF72" w:rsidR="00F00DD8" w:rsidRPr="00245430" w:rsidRDefault="00F00DD8" w:rsidP="00894BFE">
      <w:r>
        <w:t xml:space="preserve">High bauxite residue content inorganic polymer paving blocks have the potential not only to provide a solution to the ongoing waste management issues faced by the alumina sector, but to simultaneously provide low environmental impact building materials to the construction sector. In order to realise the potential of this emerging technology, it is important to understand where the hotspots of environmental impact are likely to occur, and identify routes to reduce this impact, at an early stage of development. In this study we use anticipatory Life Cycle Assessment (LCA) to identify hotspots of environmental impact in the production of paving blocks made from inorganic polymers derived from bauxite residue. This technology has only been demonstrated at </w:t>
      </w:r>
      <w:r w:rsidR="00A168D6">
        <w:t>laboratory scale</w:t>
      </w:r>
      <w:r w:rsidR="00732AAE">
        <w:t>;</w:t>
      </w:r>
      <w:r>
        <w:t xml:space="preserve"> however</w:t>
      </w:r>
      <w:r w:rsidR="00732AAE">
        <w:t>,</w:t>
      </w:r>
      <w:r w:rsidR="00894BFE">
        <w:t xml:space="preserve"> production wa</w:t>
      </w:r>
      <w:r>
        <w:t xml:space="preserve">s modelled at industrial scale. The bauxite residue is fired in a rotary kiln in the presence of a carbon and silica source, in order to create a reactive precursor. When mixed with an alkali the precursor forms a solid block. Our results identify the firing process as the major hotspot of environmental impact, primarily due to the combustion of fossil fuels in the rotary kiln. Steps to reduce the impact of the firing step or to reduce the amount of fired precursor used in the final paving block are suggested as routes for future impact reduction. Optimisation of the environmental aspects of </w:t>
      </w:r>
      <w:r w:rsidR="00732AAE">
        <w:t xml:space="preserve">these </w:t>
      </w:r>
      <w:r>
        <w:t>building material</w:t>
      </w:r>
      <w:r w:rsidR="00732AAE">
        <w:t>s</w:t>
      </w:r>
      <w:r>
        <w:t xml:space="preserve"> at an early stage in their development could lead to a promising future for high</w:t>
      </w:r>
      <w:r w:rsidR="00A56AFC">
        <w:t>-</w:t>
      </w:r>
      <w:r>
        <w:t>volume bauxite residue valorisation</w:t>
      </w:r>
      <w:r w:rsidR="00B1521F">
        <w:t xml:space="preserve"> at low environmental cost</w:t>
      </w:r>
      <w:r>
        <w:t>.</w:t>
      </w:r>
    </w:p>
    <w:p w14:paraId="622336E5" w14:textId="77777777" w:rsidR="00F00DD8" w:rsidRDefault="00F00DD8" w:rsidP="00FB4C21">
      <w:pPr>
        <w:pStyle w:val="Heading1"/>
        <w:numPr>
          <w:ilvl w:val="0"/>
          <w:numId w:val="0"/>
        </w:numPr>
      </w:pPr>
      <w:r>
        <w:t>Highlights</w:t>
      </w:r>
    </w:p>
    <w:p w14:paraId="7BFDDB76" w14:textId="77777777" w:rsidR="00807758" w:rsidRDefault="00807758" w:rsidP="00DE0D03">
      <w:pPr>
        <w:pStyle w:val="ListParagraph"/>
        <w:numPr>
          <w:ilvl w:val="0"/>
          <w:numId w:val="8"/>
        </w:numPr>
      </w:pPr>
      <w:r w:rsidRPr="00807758">
        <w:t>Bauxite residue can be transformed into inorganic polymers for use in construction</w:t>
      </w:r>
    </w:p>
    <w:p w14:paraId="54D929C3" w14:textId="77777777" w:rsidR="00F00DD8" w:rsidRDefault="00F00DD8" w:rsidP="00DE0D03">
      <w:pPr>
        <w:pStyle w:val="ListParagraph"/>
        <w:numPr>
          <w:ilvl w:val="0"/>
          <w:numId w:val="8"/>
        </w:numPr>
      </w:pPr>
      <w:r>
        <w:t>Anticipatory</w:t>
      </w:r>
      <w:r w:rsidR="00807758">
        <w:t xml:space="preserve"> </w:t>
      </w:r>
      <w:r>
        <w:t>LCA was used to identify hotspots and improvement opportunities</w:t>
      </w:r>
    </w:p>
    <w:p w14:paraId="2A240D43" w14:textId="77777777" w:rsidR="00F00DD8" w:rsidRDefault="00F00DD8" w:rsidP="00E22E94">
      <w:pPr>
        <w:pStyle w:val="ListParagraph"/>
        <w:numPr>
          <w:ilvl w:val="0"/>
          <w:numId w:val="8"/>
        </w:numPr>
      </w:pPr>
      <w:r>
        <w:t>Hotspot results are visualised with the use of novel ‘bulls-eye’ charts</w:t>
      </w:r>
    </w:p>
    <w:p w14:paraId="441D7AA3" w14:textId="77777777" w:rsidR="00F00DD8" w:rsidRDefault="00F00DD8" w:rsidP="00E22E94">
      <w:pPr>
        <w:pStyle w:val="ListParagraph"/>
        <w:numPr>
          <w:ilvl w:val="0"/>
          <w:numId w:val="8"/>
        </w:numPr>
      </w:pPr>
      <w:r>
        <w:t>Increasing the reactivity of bauxite residue via firing is the major impact hotspot</w:t>
      </w:r>
    </w:p>
    <w:p w14:paraId="39F69B01" w14:textId="77777777" w:rsidR="00F00DD8" w:rsidRPr="00E22E94" w:rsidRDefault="00F00DD8" w:rsidP="00E22E94">
      <w:pPr>
        <w:pStyle w:val="ListParagraph"/>
        <w:numPr>
          <w:ilvl w:val="0"/>
          <w:numId w:val="8"/>
        </w:numPr>
      </w:pPr>
      <w:r>
        <w:t>Reducing the proportion of fired material in the blocks is a reduction opportunity</w:t>
      </w:r>
    </w:p>
    <w:p w14:paraId="44A53C65" w14:textId="77777777" w:rsidR="00F00DD8" w:rsidRDefault="00F00DD8" w:rsidP="00FB4C21">
      <w:pPr>
        <w:pStyle w:val="Heading1"/>
        <w:numPr>
          <w:ilvl w:val="0"/>
          <w:numId w:val="0"/>
        </w:numPr>
      </w:pPr>
      <w:r>
        <w:t>Keywords</w:t>
      </w:r>
    </w:p>
    <w:p w14:paraId="120AD007" w14:textId="06A2B962" w:rsidR="0033475F" w:rsidRDefault="00F00DD8" w:rsidP="00894BFE">
      <w:r>
        <w:t xml:space="preserve">Life Cycle Assessment, Inorganic Polymers, </w:t>
      </w:r>
      <w:r w:rsidR="000558A5">
        <w:t>Bauxite Residue</w:t>
      </w:r>
      <w:r>
        <w:t>, Secondary Resources, Waste Management, Waste Valorisation</w:t>
      </w:r>
    </w:p>
    <w:p w14:paraId="43DB4E25" w14:textId="77777777" w:rsidR="0033475F" w:rsidRDefault="0033475F" w:rsidP="0033475F">
      <w:r>
        <w:br w:type="page"/>
      </w:r>
    </w:p>
    <w:p w14:paraId="4F51C4B9" w14:textId="77777777" w:rsidR="00F00DD8" w:rsidRDefault="00F00DD8" w:rsidP="00255475">
      <w:pPr>
        <w:pStyle w:val="Heading1"/>
        <w:numPr>
          <w:ilvl w:val="0"/>
          <w:numId w:val="0"/>
        </w:numPr>
      </w:pPr>
      <w:r>
        <w:lastRenderedPageBreak/>
        <w:t>Abbreviations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
        <w:gridCol w:w="4251"/>
      </w:tblGrid>
      <w:tr w:rsidR="00F00DD8" w:rsidRPr="0033475F" w14:paraId="18FD9D8F" w14:textId="77777777" w:rsidTr="006F22C8">
        <w:trPr>
          <w:trHeight w:val="170"/>
        </w:trPr>
        <w:tc>
          <w:tcPr>
            <w:tcW w:w="960" w:type="dxa"/>
            <w:noWrap/>
          </w:tcPr>
          <w:p w14:paraId="0EF4BA89" w14:textId="77777777" w:rsidR="00F00DD8" w:rsidRPr="004124EC" w:rsidRDefault="00F00DD8" w:rsidP="004124EC">
            <w:pPr>
              <w:spacing w:after="0"/>
              <w:rPr>
                <w:b/>
                <w:sz w:val="18"/>
              </w:rPr>
            </w:pPr>
            <w:r w:rsidRPr="004124EC">
              <w:rPr>
                <w:b/>
                <w:sz w:val="18"/>
              </w:rPr>
              <w:t>AC</w:t>
            </w:r>
          </w:p>
        </w:tc>
        <w:tc>
          <w:tcPr>
            <w:tcW w:w="4251" w:type="dxa"/>
            <w:noWrap/>
          </w:tcPr>
          <w:p w14:paraId="5DA4DEA1" w14:textId="77777777" w:rsidR="00F00DD8" w:rsidRPr="004124EC" w:rsidRDefault="00F00DD8" w:rsidP="004124EC">
            <w:pPr>
              <w:spacing w:after="0"/>
              <w:rPr>
                <w:sz w:val="18"/>
              </w:rPr>
            </w:pPr>
            <w:r w:rsidRPr="004124EC">
              <w:rPr>
                <w:sz w:val="18"/>
              </w:rPr>
              <w:t>Terrestrial Acidification</w:t>
            </w:r>
          </w:p>
        </w:tc>
      </w:tr>
      <w:tr w:rsidR="00F00DD8" w:rsidRPr="0033475F" w14:paraId="139765BE" w14:textId="77777777" w:rsidTr="006F22C8">
        <w:trPr>
          <w:trHeight w:val="170"/>
        </w:trPr>
        <w:tc>
          <w:tcPr>
            <w:tcW w:w="960" w:type="dxa"/>
            <w:noWrap/>
          </w:tcPr>
          <w:p w14:paraId="54922CF9" w14:textId="77777777" w:rsidR="00F00DD8" w:rsidRPr="004124EC" w:rsidRDefault="00F00DD8" w:rsidP="004124EC">
            <w:pPr>
              <w:spacing w:after="0"/>
              <w:rPr>
                <w:b/>
                <w:sz w:val="18"/>
              </w:rPr>
            </w:pPr>
            <w:r w:rsidRPr="004124EC">
              <w:rPr>
                <w:b/>
                <w:sz w:val="18"/>
              </w:rPr>
              <w:t>FE</w:t>
            </w:r>
          </w:p>
        </w:tc>
        <w:tc>
          <w:tcPr>
            <w:tcW w:w="4251" w:type="dxa"/>
            <w:noWrap/>
          </w:tcPr>
          <w:p w14:paraId="06D424E0" w14:textId="77777777" w:rsidR="00F00DD8" w:rsidRPr="004124EC" w:rsidRDefault="00F00DD8" w:rsidP="004124EC">
            <w:pPr>
              <w:spacing w:after="0"/>
              <w:rPr>
                <w:sz w:val="18"/>
              </w:rPr>
            </w:pPr>
            <w:r w:rsidRPr="004124EC">
              <w:rPr>
                <w:sz w:val="18"/>
              </w:rPr>
              <w:t>Freshwater Eutrophication</w:t>
            </w:r>
          </w:p>
        </w:tc>
      </w:tr>
      <w:tr w:rsidR="00F00DD8" w:rsidRPr="0033475F" w14:paraId="20802ABC" w14:textId="77777777" w:rsidTr="006F22C8">
        <w:trPr>
          <w:trHeight w:val="170"/>
        </w:trPr>
        <w:tc>
          <w:tcPr>
            <w:tcW w:w="960" w:type="dxa"/>
            <w:noWrap/>
          </w:tcPr>
          <w:p w14:paraId="3226DEA0" w14:textId="77777777" w:rsidR="00F00DD8" w:rsidRPr="004124EC" w:rsidRDefault="00F00DD8" w:rsidP="004124EC">
            <w:pPr>
              <w:spacing w:after="0"/>
              <w:rPr>
                <w:b/>
                <w:sz w:val="18"/>
              </w:rPr>
            </w:pPr>
            <w:r w:rsidRPr="004124EC">
              <w:rPr>
                <w:b/>
                <w:sz w:val="18"/>
              </w:rPr>
              <w:t>FT</w:t>
            </w:r>
          </w:p>
        </w:tc>
        <w:tc>
          <w:tcPr>
            <w:tcW w:w="4251" w:type="dxa"/>
            <w:noWrap/>
          </w:tcPr>
          <w:p w14:paraId="1837673C" w14:textId="77777777" w:rsidR="00F00DD8" w:rsidRPr="004124EC" w:rsidRDefault="00F00DD8" w:rsidP="004124EC">
            <w:pPr>
              <w:spacing w:after="0"/>
              <w:rPr>
                <w:sz w:val="18"/>
              </w:rPr>
            </w:pPr>
            <w:r w:rsidRPr="004124EC">
              <w:rPr>
                <w:sz w:val="18"/>
              </w:rPr>
              <w:t>Freshwater Toxicity</w:t>
            </w:r>
          </w:p>
        </w:tc>
      </w:tr>
      <w:tr w:rsidR="00F00DD8" w:rsidRPr="0033475F" w14:paraId="20FEF01A" w14:textId="77777777" w:rsidTr="006F22C8">
        <w:trPr>
          <w:trHeight w:val="170"/>
        </w:trPr>
        <w:tc>
          <w:tcPr>
            <w:tcW w:w="960" w:type="dxa"/>
            <w:noWrap/>
          </w:tcPr>
          <w:p w14:paraId="6FF44224" w14:textId="77777777" w:rsidR="00F00DD8" w:rsidRPr="004124EC" w:rsidRDefault="00F00DD8" w:rsidP="004124EC">
            <w:pPr>
              <w:spacing w:after="0"/>
              <w:rPr>
                <w:b/>
                <w:sz w:val="18"/>
              </w:rPr>
            </w:pPr>
            <w:r w:rsidRPr="004124EC">
              <w:rPr>
                <w:b/>
                <w:sz w:val="18"/>
              </w:rPr>
              <w:t>GW</w:t>
            </w:r>
          </w:p>
        </w:tc>
        <w:tc>
          <w:tcPr>
            <w:tcW w:w="4251" w:type="dxa"/>
            <w:noWrap/>
          </w:tcPr>
          <w:p w14:paraId="089A42BD" w14:textId="77777777" w:rsidR="00F00DD8" w:rsidRPr="004124EC" w:rsidRDefault="00F00DD8" w:rsidP="004124EC">
            <w:pPr>
              <w:spacing w:after="0"/>
              <w:rPr>
                <w:sz w:val="18"/>
              </w:rPr>
            </w:pPr>
            <w:r w:rsidRPr="004124EC">
              <w:rPr>
                <w:sz w:val="18"/>
              </w:rPr>
              <w:t>Global Warming</w:t>
            </w:r>
          </w:p>
        </w:tc>
      </w:tr>
      <w:tr w:rsidR="00F00DD8" w:rsidRPr="0033475F" w14:paraId="325188F8" w14:textId="77777777" w:rsidTr="006F22C8">
        <w:trPr>
          <w:trHeight w:val="170"/>
        </w:trPr>
        <w:tc>
          <w:tcPr>
            <w:tcW w:w="960" w:type="dxa"/>
            <w:noWrap/>
          </w:tcPr>
          <w:p w14:paraId="6F4DEC0F" w14:textId="77777777" w:rsidR="00F00DD8" w:rsidRPr="004124EC" w:rsidRDefault="00F00DD8" w:rsidP="004124EC">
            <w:pPr>
              <w:spacing w:after="0"/>
              <w:rPr>
                <w:b/>
                <w:sz w:val="18"/>
              </w:rPr>
            </w:pPr>
            <w:r w:rsidRPr="004124EC">
              <w:rPr>
                <w:b/>
                <w:sz w:val="18"/>
              </w:rPr>
              <w:t>HT-C</w:t>
            </w:r>
          </w:p>
        </w:tc>
        <w:tc>
          <w:tcPr>
            <w:tcW w:w="4251" w:type="dxa"/>
            <w:noWrap/>
          </w:tcPr>
          <w:p w14:paraId="1B65FAC1" w14:textId="77777777" w:rsidR="00F00DD8" w:rsidRPr="004124EC" w:rsidRDefault="00F00DD8" w:rsidP="004124EC">
            <w:pPr>
              <w:spacing w:after="0"/>
              <w:rPr>
                <w:sz w:val="18"/>
              </w:rPr>
            </w:pPr>
            <w:r w:rsidRPr="004124EC">
              <w:rPr>
                <w:sz w:val="18"/>
              </w:rPr>
              <w:t>Human Toxicity - Carcinogenic Effects</w:t>
            </w:r>
          </w:p>
        </w:tc>
      </w:tr>
      <w:tr w:rsidR="00F00DD8" w:rsidRPr="0033475F" w14:paraId="2AF92AE4" w14:textId="77777777" w:rsidTr="006F22C8">
        <w:trPr>
          <w:trHeight w:val="170"/>
        </w:trPr>
        <w:tc>
          <w:tcPr>
            <w:tcW w:w="960" w:type="dxa"/>
            <w:noWrap/>
          </w:tcPr>
          <w:p w14:paraId="7D00572D" w14:textId="77777777" w:rsidR="00F00DD8" w:rsidRPr="004124EC" w:rsidRDefault="00F00DD8" w:rsidP="004124EC">
            <w:pPr>
              <w:spacing w:after="0"/>
              <w:rPr>
                <w:b/>
                <w:sz w:val="18"/>
              </w:rPr>
            </w:pPr>
            <w:r w:rsidRPr="004124EC">
              <w:rPr>
                <w:b/>
                <w:sz w:val="18"/>
              </w:rPr>
              <w:t>HT-NC</w:t>
            </w:r>
          </w:p>
        </w:tc>
        <w:tc>
          <w:tcPr>
            <w:tcW w:w="4251" w:type="dxa"/>
            <w:noWrap/>
          </w:tcPr>
          <w:p w14:paraId="111D4553" w14:textId="77777777" w:rsidR="00F00DD8" w:rsidRPr="004124EC" w:rsidRDefault="00F00DD8" w:rsidP="004124EC">
            <w:pPr>
              <w:spacing w:after="0"/>
              <w:rPr>
                <w:sz w:val="18"/>
              </w:rPr>
            </w:pPr>
            <w:r w:rsidRPr="004124EC">
              <w:rPr>
                <w:sz w:val="18"/>
              </w:rPr>
              <w:t>Human Toxicity - Non-carcinogenic Effects</w:t>
            </w:r>
          </w:p>
        </w:tc>
      </w:tr>
      <w:tr w:rsidR="00F00DD8" w:rsidRPr="0033475F" w14:paraId="1E1B5063" w14:textId="77777777" w:rsidTr="006F22C8">
        <w:trPr>
          <w:trHeight w:val="170"/>
        </w:trPr>
        <w:tc>
          <w:tcPr>
            <w:tcW w:w="960" w:type="dxa"/>
            <w:noWrap/>
          </w:tcPr>
          <w:p w14:paraId="33EF26F9" w14:textId="77777777" w:rsidR="00F00DD8" w:rsidRPr="004124EC" w:rsidRDefault="00F00DD8" w:rsidP="004124EC">
            <w:pPr>
              <w:spacing w:after="0"/>
              <w:rPr>
                <w:b/>
                <w:sz w:val="18"/>
              </w:rPr>
            </w:pPr>
            <w:r w:rsidRPr="004124EC">
              <w:rPr>
                <w:b/>
                <w:sz w:val="18"/>
              </w:rPr>
              <w:t>IR-A</w:t>
            </w:r>
          </w:p>
        </w:tc>
        <w:tc>
          <w:tcPr>
            <w:tcW w:w="4251" w:type="dxa"/>
            <w:noWrap/>
          </w:tcPr>
          <w:p w14:paraId="78B6F67F" w14:textId="77777777" w:rsidR="00F00DD8" w:rsidRPr="004124EC" w:rsidRDefault="00F00DD8" w:rsidP="004124EC">
            <w:pPr>
              <w:spacing w:after="0"/>
              <w:rPr>
                <w:sz w:val="18"/>
              </w:rPr>
            </w:pPr>
            <w:r w:rsidRPr="004124EC">
              <w:rPr>
                <w:sz w:val="18"/>
              </w:rPr>
              <w:t>Ionising Radiation - Artificial Radionuclides</w:t>
            </w:r>
          </w:p>
        </w:tc>
      </w:tr>
      <w:tr w:rsidR="00F00DD8" w:rsidRPr="0033475F" w14:paraId="7C0767E3" w14:textId="77777777" w:rsidTr="006F22C8">
        <w:trPr>
          <w:trHeight w:val="170"/>
        </w:trPr>
        <w:tc>
          <w:tcPr>
            <w:tcW w:w="960" w:type="dxa"/>
            <w:noWrap/>
          </w:tcPr>
          <w:p w14:paraId="18E7AF2C" w14:textId="77777777" w:rsidR="00F00DD8" w:rsidRPr="004124EC" w:rsidRDefault="00F00DD8" w:rsidP="004124EC">
            <w:pPr>
              <w:spacing w:after="0"/>
              <w:rPr>
                <w:b/>
                <w:sz w:val="18"/>
              </w:rPr>
            </w:pPr>
            <w:r w:rsidRPr="004124EC">
              <w:rPr>
                <w:b/>
                <w:sz w:val="18"/>
              </w:rPr>
              <w:t>IR-N</w:t>
            </w:r>
          </w:p>
        </w:tc>
        <w:tc>
          <w:tcPr>
            <w:tcW w:w="4251" w:type="dxa"/>
            <w:noWrap/>
          </w:tcPr>
          <w:p w14:paraId="0B37F039" w14:textId="7229097E" w:rsidR="00F00DD8" w:rsidRPr="004124EC" w:rsidRDefault="00F00DD8" w:rsidP="004124EC">
            <w:pPr>
              <w:spacing w:after="0"/>
              <w:rPr>
                <w:sz w:val="18"/>
              </w:rPr>
            </w:pPr>
            <w:r w:rsidRPr="004124EC">
              <w:rPr>
                <w:sz w:val="18"/>
              </w:rPr>
              <w:t>Ionising Radiation - NORM</w:t>
            </w:r>
            <w:r w:rsidR="006F22C8" w:rsidRPr="006F22C8">
              <w:rPr>
                <w:sz w:val="18"/>
              </w:rPr>
              <w:t xml:space="preserve"> (releases to environment)</w:t>
            </w:r>
          </w:p>
        </w:tc>
      </w:tr>
      <w:tr w:rsidR="00F03E97" w:rsidRPr="0033475F" w14:paraId="76EAD740" w14:textId="77777777" w:rsidTr="006F22C8">
        <w:trPr>
          <w:trHeight w:val="170"/>
        </w:trPr>
        <w:tc>
          <w:tcPr>
            <w:tcW w:w="960" w:type="dxa"/>
            <w:noWrap/>
          </w:tcPr>
          <w:p w14:paraId="0682C9B3" w14:textId="377094AC" w:rsidR="00F03E97" w:rsidRPr="004124EC" w:rsidRDefault="00F03E97" w:rsidP="00F03E97">
            <w:pPr>
              <w:spacing w:after="0"/>
              <w:rPr>
                <w:b/>
                <w:sz w:val="18"/>
              </w:rPr>
            </w:pPr>
            <w:r>
              <w:rPr>
                <w:b/>
                <w:sz w:val="18"/>
              </w:rPr>
              <w:t>NORM</w:t>
            </w:r>
          </w:p>
        </w:tc>
        <w:tc>
          <w:tcPr>
            <w:tcW w:w="4251" w:type="dxa"/>
            <w:noWrap/>
          </w:tcPr>
          <w:p w14:paraId="6280813C" w14:textId="31081903" w:rsidR="00F03E97" w:rsidRPr="004124EC" w:rsidRDefault="00F03E97" w:rsidP="00F03E97">
            <w:pPr>
              <w:spacing w:after="0"/>
              <w:rPr>
                <w:sz w:val="18"/>
              </w:rPr>
            </w:pPr>
            <w:r>
              <w:rPr>
                <w:sz w:val="18"/>
              </w:rPr>
              <w:t>Naturally Occurring Radioactive Materials</w:t>
            </w:r>
          </w:p>
        </w:tc>
      </w:tr>
      <w:tr w:rsidR="00F00DD8" w:rsidRPr="0033475F" w14:paraId="0019C97D" w14:textId="77777777" w:rsidTr="006F22C8">
        <w:trPr>
          <w:trHeight w:val="170"/>
        </w:trPr>
        <w:tc>
          <w:tcPr>
            <w:tcW w:w="960" w:type="dxa"/>
            <w:noWrap/>
          </w:tcPr>
          <w:p w14:paraId="43295D9C" w14:textId="77777777" w:rsidR="00F00DD8" w:rsidRPr="004124EC" w:rsidRDefault="00F00DD8" w:rsidP="004124EC">
            <w:pPr>
              <w:spacing w:after="0"/>
              <w:rPr>
                <w:b/>
                <w:sz w:val="18"/>
              </w:rPr>
            </w:pPr>
            <w:r w:rsidRPr="004124EC">
              <w:rPr>
                <w:b/>
                <w:sz w:val="18"/>
              </w:rPr>
              <w:t>ME</w:t>
            </w:r>
          </w:p>
        </w:tc>
        <w:tc>
          <w:tcPr>
            <w:tcW w:w="4251" w:type="dxa"/>
            <w:noWrap/>
          </w:tcPr>
          <w:p w14:paraId="24F903F6" w14:textId="77777777" w:rsidR="00F00DD8" w:rsidRPr="004124EC" w:rsidRDefault="00F00DD8" w:rsidP="004124EC">
            <w:pPr>
              <w:spacing w:after="0"/>
              <w:rPr>
                <w:sz w:val="18"/>
              </w:rPr>
            </w:pPr>
            <w:r w:rsidRPr="004124EC">
              <w:rPr>
                <w:sz w:val="18"/>
              </w:rPr>
              <w:t>Marine Eutrophication</w:t>
            </w:r>
          </w:p>
        </w:tc>
      </w:tr>
      <w:tr w:rsidR="00F00DD8" w:rsidRPr="0033475F" w14:paraId="21AEFB80" w14:textId="77777777" w:rsidTr="006F22C8">
        <w:trPr>
          <w:trHeight w:val="170"/>
        </w:trPr>
        <w:tc>
          <w:tcPr>
            <w:tcW w:w="960" w:type="dxa"/>
            <w:noWrap/>
          </w:tcPr>
          <w:p w14:paraId="78538112" w14:textId="77777777" w:rsidR="00F00DD8" w:rsidRPr="004124EC" w:rsidRDefault="00F00DD8" w:rsidP="004124EC">
            <w:pPr>
              <w:spacing w:after="0"/>
              <w:rPr>
                <w:b/>
                <w:sz w:val="18"/>
              </w:rPr>
            </w:pPr>
            <w:r w:rsidRPr="004124EC">
              <w:rPr>
                <w:b/>
                <w:sz w:val="18"/>
              </w:rPr>
              <w:t>OZD</w:t>
            </w:r>
          </w:p>
        </w:tc>
        <w:tc>
          <w:tcPr>
            <w:tcW w:w="4251" w:type="dxa"/>
            <w:noWrap/>
          </w:tcPr>
          <w:p w14:paraId="368B8661" w14:textId="77777777" w:rsidR="00F00DD8" w:rsidRPr="004124EC" w:rsidRDefault="00F00DD8" w:rsidP="004124EC">
            <w:pPr>
              <w:spacing w:after="0"/>
              <w:rPr>
                <w:sz w:val="18"/>
              </w:rPr>
            </w:pPr>
            <w:r w:rsidRPr="004124EC">
              <w:rPr>
                <w:sz w:val="18"/>
              </w:rPr>
              <w:t>Ozone Layer Depletion</w:t>
            </w:r>
          </w:p>
        </w:tc>
      </w:tr>
      <w:tr w:rsidR="00F00DD8" w:rsidRPr="0033475F" w14:paraId="1191F699" w14:textId="77777777" w:rsidTr="006F22C8">
        <w:trPr>
          <w:trHeight w:val="170"/>
        </w:trPr>
        <w:tc>
          <w:tcPr>
            <w:tcW w:w="960" w:type="dxa"/>
            <w:noWrap/>
          </w:tcPr>
          <w:p w14:paraId="50F3232F" w14:textId="77777777" w:rsidR="00F00DD8" w:rsidRPr="004124EC" w:rsidRDefault="00F00DD8" w:rsidP="004124EC">
            <w:pPr>
              <w:spacing w:after="0"/>
              <w:rPr>
                <w:b/>
                <w:sz w:val="18"/>
              </w:rPr>
            </w:pPr>
            <w:r w:rsidRPr="004124EC">
              <w:rPr>
                <w:b/>
                <w:sz w:val="18"/>
              </w:rPr>
              <w:t>PM</w:t>
            </w:r>
          </w:p>
        </w:tc>
        <w:tc>
          <w:tcPr>
            <w:tcW w:w="4251" w:type="dxa"/>
            <w:noWrap/>
          </w:tcPr>
          <w:p w14:paraId="1A999912" w14:textId="77777777" w:rsidR="00F00DD8" w:rsidRPr="004124EC" w:rsidRDefault="00F00DD8" w:rsidP="004124EC">
            <w:pPr>
              <w:spacing w:after="0"/>
              <w:rPr>
                <w:sz w:val="18"/>
              </w:rPr>
            </w:pPr>
            <w:r w:rsidRPr="004124EC">
              <w:rPr>
                <w:sz w:val="18"/>
              </w:rPr>
              <w:t>Particulate Matter Formation</w:t>
            </w:r>
          </w:p>
        </w:tc>
      </w:tr>
      <w:tr w:rsidR="00F00DD8" w:rsidRPr="0033475F" w14:paraId="0BD7C6B8" w14:textId="77777777" w:rsidTr="006F22C8">
        <w:trPr>
          <w:trHeight w:val="170"/>
        </w:trPr>
        <w:tc>
          <w:tcPr>
            <w:tcW w:w="960" w:type="dxa"/>
            <w:noWrap/>
          </w:tcPr>
          <w:p w14:paraId="27AE01C2" w14:textId="77777777" w:rsidR="00F00DD8" w:rsidRPr="004124EC" w:rsidRDefault="00F00DD8" w:rsidP="004124EC">
            <w:pPr>
              <w:spacing w:after="0"/>
              <w:rPr>
                <w:b/>
                <w:sz w:val="18"/>
              </w:rPr>
            </w:pPr>
            <w:r w:rsidRPr="004124EC">
              <w:rPr>
                <w:b/>
                <w:sz w:val="18"/>
              </w:rPr>
              <w:t>POC</w:t>
            </w:r>
          </w:p>
        </w:tc>
        <w:tc>
          <w:tcPr>
            <w:tcW w:w="4251" w:type="dxa"/>
            <w:noWrap/>
          </w:tcPr>
          <w:p w14:paraId="59862F77" w14:textId="77777777" w:rsidR="00F00DD8" w:rsidRPr="004124EC" w:rsidRDefault="00F00DD8" w:rsidP="004124EC">
            <w:pPr>
              <w:spacing w:after="0"/>
              <w:rPr>
                <w:sz w:val="18"/>
              </w:rPr>
            </w:pPr>
            <w:r w:rsidRPr="004124EC">
              <w:rPr>
                <w:sz w:val="18"/>
              </w:rPr>
              <w:t>Photochemical Ozone Formation</w:t>
            </w:r>
          </w:p>
        </w:tc>
      </w:tr>
      <w:tr w:rsidR="00F00DD8" w:rsidRPr="0033475F" w14:paraId="3A538299" w14:textId="77777777" w:rsidTr="006F22C8">
        <w:trPr>
          <w:trHeight w:val="170"/>
        </w:trPr>
        <w:tc>
          <w:tcPr>
            <w:tcW w:w="960" w:type="dxa"/>
            <w:noWrap/>
          </w:tcPr>
          <w:p w14:paraId="6FEF3631" w14:textId="77777777" w:rsidR="00F00DD8" w:rsidRPr="004124EC" w:rsidRDefault="00F00DD8" w:rsidP="004124EC">
            <w:pPr>
              <w:spacing w:after="0"/>
              <w:rPr>
                <w:b/>
                <w:sz w:val="18"/>
              </w:rPr>
            </w:pPr>
            <w:r w:rsidRPr="004124EC">
              <w:rPr>
                <w:b/>
                <w:sz w:val="18"/>
              </w:rPr>
              <w:t>RD</w:t>
            </w:r>
          </w:p>
        </w:tc>
        <w:tc>
          <w:tcPr>
            <w:tcW w:w="4251" w:type="dxa"/>
            <w:noWrap/>
          </w:tcPr>
          <w:p w14:paraId="46FEDC3A" w14:textId="77777777" w:rsidR="00F00DD8" w:rsidRPr="004124EC" w:rsidRDefault="00F00DD8" w:rsidP="004124EC">
            <w:pPr>
              <w:spacing w:after="0"/>
              <w:rPr>
                <w:sz w:val="18"/>
              </w:rPr>
            </w:pPr>
            <w:r w:rsidRPr="004124EC">
              <w:rPr>
                <w:sz w:val="18"/>
              </w:rPr>
              <w:t>Resource Depletion</w:t>
            </w:r>
          </w:p>
        </w:tc>
      </w:tr>
      <w:tr w:rsidR="00F00DD8" w:rsidRPr="0033475F" w14:paraId="1F4075C9" w14:textId="77777777" w:rsidTr="006F22C8">
        <w:trPr>
          <w:trHeight w:val="170"/>
        </w:trPr>
        <w:tc>
          <w:tcPr>
            <w:tcW w:w="960" w:type="dxa"/>
            <w:noWrap/>
          </w:tcPr>
          <w:p w14:paraId="30C60625" w14:textId="77777777" w:rsidR="00F00DD8" w:rsidRPr="004124EC" w:rsidRDefault="00F00DD8" w:rsidP="004124EC">
            <w:pPr>
              <w:spacing w:after="0"/>
              <w:rPr>
                <w:b/>
                <w:sz w:val="18"/>
              </w:rPr>
            </w:pPr>
            <w:r w:rsidRPr="004124EC">
              <w:rPr>
                <w:b/>
                <w:sz w:val="18"/>
              </w:rPr>
              <w:t>BR</w:t>
            </w:r>
          </w:p>
        </w:tc>
        <w:tc>
          <w:tcPr>
            <w:tcW w:w="4251" w:type="dxa"/>
            <w:noWrap/>
          </w:tcPr>
          <w:p w14:paraId="37E675C2" w14:textId="77777777" w:rsidR="00F00DD8" w:rsidRPr="004124EC" w:rsidRDefault="00F00DD8" w:rsidP="004124EC">
            <w:pPr>
              <w:spacing w:after="0"/>
              <w:rPr>
                <w:sz w:val="18"/>
              </w:rPr>
            </w:pPr>
            <w:r w:rsidRPr="004124EC">
              <w:rPr>
                <w:sz w:val="18"/>
              </w:rPr>
              <w:t>Bauxite Residue</w:t>
            </w:r>
          </w:p>
        </w:tc>
      </w:tr>
      <w:tr w:rsidR="00F00DD8" w:rsidRPr="0033475F" w14:paraId="22490D19" w14:textId="77777777" w:rsidTr="006F22C8">
        <w:trPr>
          <w:trHeight w:val="170"/>
        </w:trPr>
        <w:tc>
          <w:tcPr>
            <w:tcW w:w="960" w:type="dxa"/>
            <w:noWrap/>
          </w:tcPr>
          <w:p w14:paraId="06F35F7D" w14:textId="77777777" w:rsidR="00F00DD8" w:rsidRPr="004124EC" w:rsidRDefault="00F00DD8" w:rsidP="004124EC">
            <w:pPr>
              <w:spacing w:after="0"/>
              <w:rPr>
                <w:b/>
                <w:sz w:val="18"/>
              </w:rPr>
            </w:pPr>
            <w:r w:rsidRPr="004124EC">
              <w:rPr>
                <w:b/>
                <w:sz w:val="18"/>
              </w:rPr>
              <w:t>IP</w:t>
            </w:r>
          </w:p>
        </w:tc>
        <w:tc>
          <w:tcPr>
            <w:tcW w:w="4251" w:type="dxa"/>
            <w:noWrap/>
          </w:tcPr>
          <w:p w14:paraId="41A2EC1E" w14:textId="77777777" w:rsidR="00F00DD8" w:rsidRPr="004124EC" w:rsidRDefault="00F00DD8" w:rsidP="004124EC">
            <w:pPr>
              <w:spacing w:after="0"/>
              <w:rPr>
                <w:sz w:val="18"/>
              </w:rPr>
            </w:pPr>
            <w:r w:rsidRPr="004124EC">
              <w:rPr>
                <w:sz w:val="18"/>
              </w:rPr>
              <w:t>Inorganic Polymer</w:t>
            </w:r>
          </w:p>
        </w:tc>
      </w:tr>
      <w:tr w:rsidR="00F00DD8" w:rsidRPr="0033475F" w14:paraId="3D2D569C" w14:textId="77777777" w:rsidTr="006F22C8">
        <w:trPr>
          <w:trHeight w:val="170"/>
        </w:trPr>
        <w:tc>
          <w:tcPr>
            <w:tcW w:w="960" w:type="dxa"/>
            <w:noWrap/>
          </w:tcPr>
          <w:p w14:paraId="67883585" w14:textId="77777777" w:rsidR="00F00DD8" w:rsidRPr="004124EC" w:rsidRDefault="00F00DD8" w:rsidP="004124EC">
            <w:pPr>
              <w:spacing w:after="0"/>
              <w:rPr>
                <w:b/>
                <w:sz w:val="18"/>
              </w:rPr>
            </w:pPr>
            <w:r w:rsidRPr="004124EC">
              <w:rPr>
                <w:b/>
                <w:sz w:val="18"/>
              </w:rPr>
              <w:t>LCA</w:t>
            </w:r>
          </w:p>
        </w:tc>
        <w:tc>
          <w:tcPr>
            <w:tcW w:w="4251" w:type="dxa"/>
            <w:noWrap/>
          </w:tcPr>
          <w:p w14:paraId="6F7A2D6B" w14:textId="77777777" w:rsidR="00F00DD8" w:rsidRPr="004124EC" w:rsidRDefault="00F00DD8" w:rsidP="004124EC">
            <w:pPr>
              <w:spacing w:after="0"/>
              <w:rPr>
                <w:sz w:val="18"/>
              </w:rPr>
            </w:pPr>
            <w:r w:rsidRPr="004124EC">
              <w:rPr>
                <w:sz w:val="18"/>
              </w:rPr>
              <w:t>Life Cycle Assessment</w:t>
            </w:r>
          </w:p>
        </w:tc>
      </w:tr>
      <w:tr w:rsidR="00F00DD8" w:rsidRPr="0033475F" w14:paraId="3DBC0EF3" w14:textId="77777777" w:rsidTr="006F22C8">
        <w:trPr>
          <w:trHeight w:val="170"/>
        </w:trPr>
        <w:tc>
          <w:tcPr>
            <w:tcW w:w="960" w:type="dxa"/>
            <w:noWrap/>
          </w:tcPr>
          <w:p w14:paraId="0F60785D" w14:textId="77777777" w:rsidR="00F00DD8" w:rsidRPr="004124EC" w:rsidRDefault="00F00DD8" w:rsidP="004124EC">
            <w:pPr>
              <w:spacing w:after="0"/>
              <w:rPr>
                <w:b/>
                <w:sz w:val="18"/>
              </w:rPr>
            </w:pPr>
            <w:r w:rsidRPr="004124EC">
              <w:rPr>
                <w:b/>
                <w:sz w:val="18"/>
              </w:rPr>
              <w:t>LCI</w:t>
            </w:r>
          </w:p>
        </w:tc>
        <w:tc>
          <w:tcPr>
            <w:tcW w:w="4251" w:type="dxa"/>
            <w:noWrap/>
          </w:tcPr>
          <w:p w14:paraId="02F64B86" w14:textId="77777777" w:rsidR="00F00DD8" w:rsidRPr="004124EC" w:rsidRDefault="00F00DD8" w:rsidP="004124EC">
            <w:pPr>
              <w:spacing w:after="0"/>
              <w:rPr>
                <w:sz w:val="18"/>
              </w:rPr>
            </w:pPr>
            <w:r w:rsidRPr="004124EC">
              <w:rPr>
                <w:sz w:val="18"/>
              </w:rPr>
              <w:t>Life Cycle Inventory</w:t>
            </w:r>
          </w:p>
        </w:tc>
      </w:tr>
      <w:tr w:rsidR="00F00DD8" w:rsidRPr="0033475F" w14:paraId="10DBACC5" w14:textId="77777777" w:rsidTr="006F22C8">
        <w:trPr>
          <w:trHeight w:val="170"/>
        </w:trPr>
        <w:tc>
          <w:tcPr>
            <w:tcW w:w="960" w:type="dxa"/>
            <w:noWrap/>
          </w:tcPr>
          <w:p w14:paraId="72964DC1" w14:textId="77777777" w:rsidR="00F00DD8" w:rsidRPr="004124EC" w:rsidRDefault="00F00DD8" w:rsidP="004124EC">
            <w:pPr>
              <w:spacing w:after="0"/>
              <w:rPr>
                <w:b/>
                <w:sz w:val="18"/>
              </w:rPr>
            </w:pPr>
            <w:r w:rsidRPr="004124EC">
              <w:rPr>
                <w:b/>
                <w:sz w:val="18"/>
              </w:rPr>
              <w:t xml:space="preserve">LCIA </w:t>
            </w:r>
          </w:p>
        </w:tc>
        <w:tc>
          <w:tcPr>
            <w:tcW w:w="4251" w:type="dxa"/>
            <w:noWrap/>
          </w:tcPr>
          <w:p w14:paraId="0B31CEEA" w14:textId="77777777" w:rsidR="00F00DD8" w:rsidRPr="004124EC" w:rsidRDefault="00F00DD8" w:rsidP="004124EC">
            <w:pPr>
              <w:spacing w:after="0"/>
              <w:rPr>
                <w:sz w:val="18"/>
              </w:rPr>
            </w:pPr>
            <w:r w:rsidRPr="004124EC">
              <w:rPr>
                <w:sz w:val="18"/>
              </w:rPr>
              <w:t>Life Cycle Impact Assessment</w:t>
            </w:r>
          </w:p>
        </w:tc>
      </w:tr>
      <w:tr w:rsidR="00F00DD8" w:rsidRPr="0033475F" w14:paraId="04189180" w14:textId="77777777" w:rsidTr="006F22C8">
        <w:trPr>
          <w:trHeight w:val="170"/>
        </w:trPr>
        <w:tc>
          <w:tcPr>
            <w:tcW w:w="960" w:type="dxa"/>
            <w:noWrap/>
          </w:tcPr>
          <w:p w14:paraId="567FB92A" w14:textId="77777777" w:rsidR="00F00DD8" w:rsidRPr="004124EC" w:rsidRDefault="00F00DD8" w:rsidP="004124EC">
            <w:pPr>
              <w:spacing w:after="0"/>
              <w:rPr>
                <w:b/>
                <w:sz w:val="18"/>
              </w:rPr>
            </w:pPr>
            <w:r w:rsidRPr="004124EC">
              <w:rPr>
                <w:b/>
                <w:sz w:val="18"/>
              </w:rPr>
              <w:t>LCPD</w:t>
            </w:r>
          </w:p>
        </w:tc>
        <w:tc>
          <w:tcPr>
            <w:tcW w:w="4251" w:type="dxa"/>
            <w:noWrap/>
          </w:tcPr>
          <w:p w14:paraId="7CEF518D" w14:textId="77777777" w:rsidR="00F00DD8" w:rsidRPr="004124EC" w:rsidRDefault="00F00DD8" w:rsidP="004124EC">
            <w:pPr>
              <w:spacing w:after="0"/>
              <w:rPr>
                <w:sz w:val="18"/>
              </w:rPr>
            </w:pPr>
            <w:r w:rsidRPr="004124EC">
              <w:rPr>
                <w:sz w:val="18"/>
              </w:rPr>
              <w:t>Life Cycle Process Design</w:t>
            </w:r>
          </w:p>
        </w:tc>
      </w:tr>
      <w:tr w:rsidR="000558A5" w:rsidRPr="0033475F" w14:paraId="729B7A45" w14:textId="77777777" w:rsidTr="006F22C8">
        <w:trPr>
          <w:trHeight w:val="170"/>
        </w:trPr>
        <w:tc>
          <w:tcPr>
            <w:tcW w:w="960" w:type="dxa"/>
            <w:noWrap/>
          </w:tcPr>
          <w:p w14:paraId="37AE597C" w14:textId="34657C0B" w:rsidR="000558A5" w:rsidRPr="004124EC" w:rsidRDefault="000558A5" w:rsidP="004124EC">
            <w:pPr>
              <w:spacing w:after="0"/>
              <w:rPr>
                <w:b/>
                <w:sz w:val="18"/>
              </w:rPr>
            </w:pPr>
            <w:r>
              <w:rPr>
                <w:b/>
                <w:sz w:val="18"/>
              </w:rPr>
              <w:t>BREEAM</w:t>
            </w:r>
          </w:p>
        </w:tc>
        <w:tc>
          <w:tcPr>
            <w:tcW w:w="4251" w:type="dxa"/>
            <w:noWrap/>
          </w:tcPr>
          <w:p w14:paraId="36ABA9BD" w14:textId="209D5387" w:rsidR="000558A5" w:rsidRPr="004124EC" w:rsidRDefault="000558A5" w:rsidP="004124EC">
            <w:pPr>
              <w:spacing w:after="0"/>
              <w:rPr>
                <w:sz w:val="18"/>
              </w:rPr>
            </w:pPr>
            <w:r>
              <w:rPr>
                <w:sz w:val="18"/>
              </w:rPr>
              <w:t>Building Research Establishment Environmental Assessment Method</w:t>
            </w:r>
          </w:p>
        </w:tc>
      </w:tr>
      <w:tr w:rsidR="000558A5" w:rsidRPr="0033475F" w14:paraId="11250592" w14:textId="77777777" w:rsidTr="006F22C8">
        <w:trPr>
          <w:trHeight w:val="170"/>
        </w:trPr>
        <w:tc>
          <w:tcPr>
            <w:tcW w:w="960" w:type="dxa"/>
            <w:noWrap/>
          </w:tcPr>
          <w:p w14:paraId="30626C9C" w14:textId="5EEFBFCE" w:rsidR="000558A5" w:rsidRDefault="000558A5" w:rsidP="004124EC">
            <w:pPr>
              <w:spacing w:after="0"/>
              <w:rPr>
                <w:b/>
                <w:sz w:val="18"/>
              </w:rPr>
            </w:pPr>
            <w:r>
              <w:rPr>
                <w:b/>
                <w:sz w:val="18"/>
              </w:rPr>
              <w:t>LEED</w:t>
            </w:r>
          </w:p>
        </w:tc>
        <w:tc>
          <w:tcPr>
            <w:tcW w:w="4251" w:type="dxa"/>
            <w:noWrap/>
          </w:tcPr>
          <w:p w14:paraId="4AED6ABF" w14:textId="0C5989D9" w:rsidR="000558A5" w:rsidRDefault="000558A5" w:rsidP="004124EC">
            <w:pPr>
              <w:spacing w:after="0"/>
              <w:rPr>
                <w:sz w:val="18"/>
              </w:rPr>
            </w:pPr>
            <w:r>
              <w:rPr>
                <w:sz w:val="18"/>
              </w:rPr>
              <w:t>Leadership in Energy and Environmental Design</w:t>
            </w:r>
          </w:p>
        </w:tc>
      </w:tr>
    </w:tbl>
    <w:p w14:paraId="3D9297F8" w14:textId="77777777" w:rsidR="00F00DD8" w:rsidRPr="00185616" w:rsidRDefault="00F00DD8" w:rsidP="00894BFE"/>
    <w:p w14:paraId="3BDCCEF9" w14:textId="01918745" w:rsidR="00F00DD8" w:rsidRDefault="00F00DD8" w:rsidP="00FB4C21">
      <w:pPr>
        <w:pStyle w:val="Heading1"/>
        <w:numPr>
          <w:ilvl w:val="0"/>
          <w:numId w:val="2"/>
        </w:numPr>
      </w:pPr>
      <w:r>
        <w:t>Introduction</w:t>
      </w:r>
    </w:p>
    <w:p w14:paraId="17164592" w14:textId="6D04A3FD" w:rsidR="00A22A27" w:rsidRDefault="00F00DD8" w:rsidP="00894BFE">
      <w:r>
        <w:t xml:space="preserve">The production of building materials from bauxite residue (BR) has a number of potential benefits. BR is an unavoidable </w:t>
      </w:r>
      <w:r w:rsidR="001D7515">
        <w:t xml:space="preserve">residue resulting from </w:t>
      </w:r>
      <w:r>
        <w:t>the first stage of alumi</w:t>
      </w:r>
      <w:r w:rsidR="00894BFE">
        <w:t xml:space="preserve">nium production, and as such </w:t>
      </w:r>
      <w:r w:rsidR="00B1521F">
        <w:t>its</w:t>
      </w:r>
      <w:r>
        <w:t xml:space="preserve"> management has long been a concern of the alumina industry </w:t>
      </w:r>
      <w:r>
        <w:fldChar w:fldCharType="begin" w:fldLock="1"/>
      </w:r>
      <w:r w:rsidR="000E418E">
        <w:instrText>ADDIN CSL_CITATION {"citationItems":[{"id":"ITEM-1","itemData":{"DOI":"10.1007/s40831-016-0060-x","ISSN":"2199-3823","author":[{"dropping-particle":"","family":"Evans","given":"Ken","non-dropping-particle":"","parse-names":false,"suffix":""}],"container-title":"Journal of Sustainable Metallurgy","id":"ITEM-1","issue":"4","issued":{"date-parts":[["2016","12","19"]]},"page":"316-331","publisher":"Springer International Publishing","title":"The History, Challenges, and New Developments in the Management and Use of Bauxite Residue","type":"article-journal","volume":"2"},"uris":["http://www.mendeley.com/documents/?uuid=015fb83f-d2a9-4553-b1bb-00f12c47936f"]}],"mendeley":{"formattedCitation":"(Evans, 2016)","plainTextFormattedCitation":"(Evans, 2016)","previouslyFormattedCitation":"(Evans, 2016)"},"properties":{"noteIndex":0},"schema":"https://github.com/citation-style-language/schema/raw/master/csl-citation.json"}</w:instrText>
      </w:r>
      <w:r>
        <w:fldChar w:fldCharType="separate"/>
      </w:r>
      <w:r w:rsidRPr="00F7534A">
        <w:rPr>
          <w:noProof/>
        </w:rPr>
        <w:t>(Evans, 2016)</w:t>
      </w:r>
      <w:r>
        <w:fldChar w:fldCharType="end"/>
      </w:r>
      <w:r>
        <w:t xml:space="preserve">. Diverting BR from current landfill practices and utilising it as a secondary resource is seen as an important aspiration for the future of BR management (ibid.). Recycling of BR into building materials offers a </w:t>
      </w:r>
      <w:r w:rsidR="00A56AFC">
        <w:t>high-volume</w:t>
      </w:r>
      <w:r>
        <w:t xml:space="preserve"> valorisation pathway for this waste. At the same time, there is increasing demand from the construction industry for building materials which demonstrate high environmental performance.</w:t>
      </w:r>
      <w:r w:rsidR="00C95139">
        <w:t xml:space="preserve"> Both BREEAM</w:t>
      </w:r>
      <w:r w:rsidR="000558A5">
        <w:rPr>
          <w:rStyle w:val="FootnoteReference"/>
        </w:rPr>
        <w:footnoteReference w:id="2"/>
      </w:r>
      <w:r w:rsidR="00C95139">
        <w:t xml:space="preserve"> and LEED</w:t>
      </w:r>
      <w:r w:rsidR="00DA4149">
        <w:rPr>
          <w:rStyle w:val="FootnoteReference"/>
        </w:rPr>
        <w:footnoteReference w:id="3"/>
      </w:r>
      <w:r w:rsidR="00C95139">
        <w:t xml:space="preserve">, the two leading sustainable construction accreditation schemes, contain requirements to consider and minimise the life cycle environmental impact of the materials chosen and encourage the use of materials with a high level of recycled material content </w:t>
      </w:r>
      <w:r w:rsidR="00C95139">
        <w:fldChar w:fldCharType="begin" w:fldLock="1"/>
      </w:r>
      <w:r w:rsidR="000E418E">
        <w:instrText>ADDIN CSL_CITATION {"citationItems":[{"id":"ITEM-1","itemData":{"author":[{"dropping-particle":"","family":"BRE Global","given":"","non-dropping-particle":"","parse-names":false,"suffix":""}],"id":"ITEM-1","issued":{"date-parts":[["2016"]]},"title":"BREEAM International New Construction 2016 Technical Manual","type":"report"},"uris":["http://www.mendeley.com/documents/?uuid=b6ce7d98-e413-4cb6-b2e6-d27f378302d7"]},{"id":"ITEM-2","itemData":{"author":[{"dropping-particle":"","family":"USGBC","given":"","non-dropping-particle":"","parse-names":false,"suffix":""}],"id":"ITEM-2","issued":{"date-parts":[["2017"]]},"title":"LEED v4 for Building Design and Construction","type":"article-journal"},"uris":["http://www.mendeley.com/documents/?uuid=3fa0f1aa-ef57-46ed-bb95-02127a19e66f"]}],"mendeley":{"formattedCitation":"(BRE Global, 2016; USGBC, 2017)","plainTextFormattedCitation":"(BRE Global, 2016; USGBC, 2017)","previouslyFormattedCitation":"(BRE Global, 2016; USGBC, 2017)"},"properties":{"noteIndex":0},"schema":"https://github.com/citation-style-language/schema/raw/master/csl-citation.json"}</w:instrText>
      </w:r>
      <w:r w:rsidR="00C95139">
        <w:fldChar w:fldCharType="separate"/>
      </w:r>
      <w:r w:rsidR="00C95139" w:rsidRPr="00C95139">
        <w:rPr>
          <w:noProof/>
        </w:rPr>
        <w:t>(BRE Global, 2016; USGBC, 2017)</w:t>
      </w:r>
      <w:r w:rsidR="00C95139">
        <w:fldChar w:fldCharType="end"/>
      </w:r>
      <w:r w:rsidR="00C95139">
        <w:t>.</w:t>
      </w:r>
      <w:r>
        <w:t xml:space="preserve"> Use of industrial residues, such as BR, in place of virgin materials in the production of building materials is potentially consistent with </w:t>
      </w:r>
      <w:r w:rsidR="00C95139">
        <w:t>both of these requirements</w:t>
      </w:r>
      <w:r>
        <w:t xml:space="preserve">. </w:t>
      </w:r>
      <w:r w:rsidR="00A22A27">
        <w:t xml:space="preserve">At a higher level, the European Commission has set out an EU wide action plan for the Circular Economy </w:t>
      </w:r>
      <w:r w:rsidR="00A22A27">
        <w:fldChar w:fldCharType="begin" w:fldLock="1"/>
      </w:r>
      <w:r w:rsidR="002B1423">
        <w:instrText>ADDIN CSL_CITATION {"citationItems":[{"id":"ITEM-1","itemData":{"author":[{"dropping-particle":"","family":"European Commission","given":"","non-dropping-particle":"","parse-names":false,"suffix":""}],"id":"ITEM-1","issued":{"date-parts":[["2015"]]},"title":"Closing the loop - An EU action plan for the Circular Economy","type":"report"},"uris":["http://www.mendeley.com/documents/?uuid=bdf09404-ba06-4eec-962f-befdb1e09a2f"]}],"mendeley":{"formattedCitation":"(European Commission, 2015)","plainTextFormattedCitation":"(European Commission, 2015)","previouslyFormattedCitation":"(European Commisssion, 2015)"},"properties":{"noteIndex":0},"schema":"https://github.com/citation-style-language/schema/raw/master/csl-citation.json"}</w:instrText>
      </w:r>
      <w:r w:rsidR="00A22A27">
        <w:fldChar w:fldCharType="separate"/>
      </w:r>
      <w:r w:rsidR="002B1423" w:rsidRPr="002B1423">
        <w:rPr>
          <w:noProof/>
        </w:rPr>
        <w:t>(European Commission, 2015)</w:t>
      </w:r>
      <w:r w:rsidR="00A22A27">
        <w:fldChar w:fldCharType="end"/>
      </w:r>
      <w:r w:rsidR="00A22A27">
        <w:t xml:space="preserve">, which stresses the importance of secondary raw materials being fed back into the economy, and commits to promote innovative industrial processes in which the wastes of one industry become the inputs to another. </w:t>
      </w:r>
    </w:p>
    <w:p w14:paraId="5140E41D" w14:textId="402FD023" w:rsidR="00CF5810" w:rsidRDefault="00A22A27" w:rsidP="00CF5810">
      <w:r>
        <w:t>The presence of supply-side, demand-side and policy-level drivers for the utilisation of BR in building products indicates that the stage is set for the development of innovative technologies for high volume utilisation of this abundant secondary resource. However it is of vital importance that these technologies offer a more sustainable approach than the situation today. It is unwise to naively assume that</w:t>
      </w:r>
      <w:r w:rsidR="00CF5810">
        <w:t xml:space="preserve"> ‘waste valorisation’ or </w:t>
      </w:r>
      <w:r w:rsidR="00CF5810">
        <w:lastRenderedPageBreak/>
        <w:t xml:space="preserve">‘circular economy’ approaches are more sustainable than conventional approaches. Indeed questions have been raised as to the validity of the fundamental assumptions which underpin the circular economy concept </w:t>
      </w:r>
      <w:r w:rsidR="00CF5810">
        <w:fldChar w:fldCharType="begin" w:fldLock="1"/>
      </w:r>
      <w:r w:rsidR="000E418E">
        <w:instrText>ADDIN CSL_CITATION {"citationItems":[{"id":"ITEM-1","itemData":{"DOI":"10.1177/0734242X15626015","ISBN":"0734-242x","ISSN":"10963669","PMID":"26759489","author":[{"dropping-particle":"","family":"Man","given":"Reinier","non-dropping-particle":"De","parse-names":false,"suffix":""},{"dropping-particle":"","family":"Friege","given":"Henning","non-dropping-particle":"","parse-names":false,"suffix":""}],"container-title":"Waste Management and Research","id":"ITEM-1","issue":"2","issued":{"date-parts":[["2016"]]},"page":"93-95","title":"Circular economy: European policy on shaky ground","type":"article-journal","volume":"34"},"uris":["http://www.mendeley.com/documents/?uuid=d37808a2-bd6c-4b09-bfb1-706e6803d575"]}],"mendeley":{"formattedCitation":"(De Man and Friege, 2016)","plainTextFormattedCitation":"(De Man and Friege, 2016)","previouslyFormattedCitation":"(De Man and Friege, 2016)"},"properties":{"noteIndex":0},"schema":"https://github.com/citation-style-language/schema/raw/master/csl-citation.json"}</w:instrText>
      </w:r>
      <w:r w:rsidR="00CF5810">
        <w:fldChar w:fldCharType="separate"/>
      </w:r>
      <w:r w:rsidR="00CF5810" w:rsidRPr="00CF5810">
        <w:rPr>
          <w:noProof/>
        </w:rPr>
        <w:t>(De Man and Friege, 2016)</w:t>
      </w:r>
      <w:r w:rsidR="00CF5810">
        <w:fldChar w:fldCharType="end"/>
      </w:r>
      <w:r w:rsidR="00CF5810">
        <w:t>, and life cycle assessment studies of some closed loop systems have shown</w:t>
      </w:r>
      <w:r w:rsidR="00CF5810" w:rsidRPr="00CF5810">
        <w:t xml:space="preserve"> </w:t>
      </w:r>
      <w:r w:rsidR="00CF5810">
        <w:t xml:space="preserve">that in practice they can lead to a higher overall environmental impact than their conventional counterparts </w:t>
      </w:r>
      <w:r w:rsidR="00CF5810">
        <w:fldChar w:fldCharType="begin" w:fldLock="1"/>
      </w:r>
      <w:r w:rsidR="000E418E">
        <w:instrText>ADDIN CSL_CITATION {"citationItems":[{"id":"ITEM-1","itemData":{"abstract":"The Cradle to Cradle (C2C) concept has gained wide interest among especially designers over the past few years. This paper aims to investigate whether C2C products are in fact always sustainable and to explore whether an ideal C2C society is so too. An LCA comparing the C2C certified mineral paper TerraSkin with a cellulose based reference paper was conducted. From this, energy systems and recycling infrastructure was found to be decisive parameters for the sustainability of C2C products. They are therefore not always sustainable. Moreover a literature study identified inherent sustainability conflicts of the C2C concept relating to: 1) 100% closed loop recycling is not thermodynamically practical 2) addition of biological nutrients to the environment may result in loss of biodiversity and 3) even an ideal C2C society will experience resource scarcity and loss of biodiversity as a result of continuous economical growth.","author":[{"dropping-particle":"","family":"Bjørn","given":"Anders","non-dropping-particle":"","parse-names":false,"suffix":""},{"dropping-particle":"","family":"Strandesen","given":"Maria","non-dropping-particle":"","parse-names":false,"suffix":""}],"container-title":"The Life Cycle Management (LCM) conference: Towards Life Cycle Sustainability Management","id":"ITEM-1","issued":{"date-parts":[["2011"]]},"title":"The Cradle to Cradle concept - is it always sustainable?","type":"article-journal"},"uris":["http://www.mendeley.com/documents/?uuid=a6b4e794-5e14-4687-99bf-35ad303df548"]}],"mendeley":{"formattedCitation":"(Bjørn and Strandesen, 2011)","plainTextFormattedCitation":"(Bjørn and Strandesen, 2011)","previouslyFormattedCitation":"(Bjørn and Strandesen, 2011)"},"properties":{"noteIndex":0},"schema":"https://github.com/citation-style-language/schema/raw/master/csl-citation.json"}</w:instrText>
      </w:r>
      <w:r w:rsidR="00CF5810">
        <w:fldChar w:fldCharType="separate"/>
      </w:r>
      <w:r w:rsidR="00CF5810" w:rsidRPr="00CF5810">
        <w:rPr>
          <w:noProof/>
        </w:rPr>
        <w:t xml:space="preserve">(Bjørn </w:t>
      </w:r>
      <w:proofErr w:type="gramStart"/>
      <w:r w:rsidR="00CF5810" w:rsidRPr="00CF5810">
        <w:rPr>
          <w:noProof/>
        </w:rPr>
        <w:t>and Strandesen, 2011)</w:t>
      </w:r>
      <w:r w:rsidR="00CF5810">
        <w:fldChar w:fldCharType="end"/>
      </w:r>
      <w:r w:rsidR="00CF5810">
        <w:t>.</w:t>
      </w:r>
      <w:proofErr w:type="gramEnd"/>
    </w:p>
    <w:p w14:paraId="423CE8FF" w14:textId="00518C5B" w:rsidR="00CF5810" w:rsidRDefault="00CF5810" w:rsidP="00CF5810">
      <w:r>
        <w:t>It is therefore important to understand the life cycle environmental performance of new technologies for BR utilisation at an early stage in their development in order to minimise the impact caused and maximise the benefit achieved. The identification of potential hotspots of environmental impact is an important first step in this process. In this study we investigate the environmental performance of one emerging technology for high volume valorisation of BR as a building product – the production of inorganic polymer paving blocks.</w:t>
      </w:r>
    </w:p>
    <w:p w14:paraId="2590EED1" w14:textId="62E41473" w:rsidR="00F00DD8" w:rsidRDefault="00F00DD8" w:rsidP="00894BFE">
      <w:r>
        <w:t xml:space="preserve">Recent research has confirmed that BR can be transformed into inorganic polymers </w:t>
      </w:r>
      <w:r>
        <w:fldChar w:fldCharType="begin" w:fldLock="1"/>
      </w:r>
      <w:r w:rsidR="000E418E">
        <w:instrText>ADDIN CSL_CITATION {"citationItems":[{"id":"ITEM-1","itemData":{"DOI":"10.1007/s40831-016-0080-6","ISSN":"2199-3823","author":[{"dropping-particle":"","family":"Hertel","given":"Tobias","non-dropping-particle":"","parse-names":false,"suffix":""},{"dropping-particle":"","family":"Blanpain","given":"Bart","non-dropping-particle":"","parse-names":false,"suffix":""},{"dropping-particle":"","family":"Pontikes","given":"Yiannis","non-dropping-particle":"","parse-names":false,"suffix":""}],"container-title":"Journal of Sustainable Metallurgy","id":"ITEM-1","issue":"4","issued":{"date-parts":[["2016"]]},"page":"394-404","publisher":"Springer International Publishing","title":"A Proposal for a 100 % Use of Bauxite Residue Towards Inorganic Polymer Mortar","type":"article-journal","volume":"2"},"uris":["http://www.mendeley.com/documents/?uuid=df84e3ec-0686-451e-8049-bb0d0c87e022"]},{"id":"ITEM-2","itemData":{"author":[{"dropping-particle":"","family":"Hertel","given":"Tobias","non-dropping-particle":"","parse-names":false,"suffix":""},{"dropping-particle":"","family":"Blanpain","given":"Bart","non-dropping-particle":"","parse-names":false,"suffix":""},{"dropping-particle":"","family":"Pontikes","given":"Yiannis","non-dropping-particle":"","parse-names":false,"suffix":""}],"container-title":"Proceedings of 35th International ICSOBA Conference, Hamburg, Germany, 2 – 5 October, 2017","id":"ITEM-2","issued":{"date-parts":[["2017"]]},"title":"High Temperature Processing Options for the Valorisation of Bauxite Residue towards New Materials","type":"paper-conference"},"uris":["http://www.mendeley.com/documents/?uuid=6e0331fc-33e7-4e45-b358-4913aab88b3c"]}],"mendeley":{"formattedCitation":"(Hertel et al., 2017, 2016)","plainTextFormattedCitation":"(Hertel et al., 2017, 2016)","previouslyFormattedCitation":"(Hertel et al., 2017, 2016)"},"properties":{"noteIndex":0},"schema":"https://github.com/citation-style-language/schema/raw/master/csl-citation.json"}</w:instrText>
      </w:r>
      <w:r>
        <w:fldChar w:fldCharType="separate"/>
      </w:r>
      <w:r w:rsidR="009849C2" w:rsidRPr="009849C2">
        <w:rPr>
          <w:noProof/>
        </w:rPr>
        <w:t>(Hertel et al., 2017, 2016)</w:t>
      </w:r>
      <w:r>
        <w:fldChar w:fldCharType="end"/>
      </w:r>
      <w:r w:rsidR="00C95139">
        <w:t>.</w:t>
      </w:r>
      <w:r>
        <w:t xml:space="preserve"> Inorganic polymer products have the potential to be utilised as high performance building materials</w:t>
      </w:r>
      <w:r w:rsidR="00C95139">
        <w:t xml:space="preserve"> </w:t>
      </w:r>
      <w:r w:rsidR="00C95139">
        <w:fldChar w:fldCharType="begin" w:fldLock="1"/>
      </w:r>
      <w:r w:rsidR="000E418E">
        <w:instrText>ADDIN CSL_CITATION {"citationItems":[{"id":"ITEM-1","itemData":{"DOI":"10.1016/j.cemconres.2007.08.018","ISBN":"0008-8846","ISSN":"00088846","abstract":"The potential position of and drivers for inorganic polymers (\"geopolymers\") as an element of the push for a sustainable concrete industry are discussed. These materials are alkali-activated aluminosilicates, with a much smaller CO2 footprint than traditional Portland cements, and display very good strength and chemical resistance properties as well as a variety of other potentially valuable characteristics. It is widely known that the widespread uptake of geopolymer technology is hindered by a number of factors, in particular issues to do with a lack of long-term (20+??years) durability data in this relatively young research field. There are also difficulties in compliance with some regulatory standards in Europe and North America, specifically those defining minimum clinker content levels or chemical compositions in cements. Work on resolving these issues is ongoing, with accelerated durability testing showing highly promising results with regard to salt scaling and freeze-thaw cycling. Geopolymer concrete compliance with performance-based standards is comparable to that of most other high-strength concretes. Issues to do with the distinction between geopolymers synthesised for cement replacement applications and those tailored for niche ceramic applications are also discussed. Particular attention is paid to the role of free alkali and silicate in poorly-formulated systems and its deleterious effects on concrete performance, which necessitates a more complete understanding of the chemistry of geopolymerisation for the technology to be successfully applied. The relationship between CO2 footprint and composition in comparison with Portland-based cements is quantified. ?? 2007 Elsevier Ltd. All rights reserved.","author":[{"dropping-particle":"","family":"Duxson","given":"Peter","non-dropping-particle":"","parse-names":false,"suffix":""},{"dropping-particle":"","family":"Provis","given":"John L.","non-dropping-particle":"","parse-names":false,"suffix":""},{"dropping-particle":"","family":"Lukey","given":"Grant C.","non-dropping-particle":"","parse-names":false,"suffix":""},{"dropping-particle":"","family":"Deventer","given":"Jannie S J","non-dropping-particle":"van","parse-names":false,"suffix":""}],"container-title":"Cement and Concrete Research","id":"ITEM-1","issue":"12","issued":{"date-parts":[["2007"]]},"page":"1590-1597","title":"The role of inorganic polymer technology in the development of 'green concrete'","type":"article-journal","volume":"37"},"uris":["http://www.mendeley.com/documents/?uuid=8583d2dd-84f0-40d7-b774-d22ca422dc16"]}],"mendeley":{"formattedCitation":"(Duxson et al., 2007b)","plainTextFormattedCitation":"(Duxson et al., 2007b)","previouslyFormattedCitation":"(Duxson et al., 2007b)"},"properties":{"noteIndex":0},"schema":"https://github.com/citation-style-language/schema/raw/master/csl-citation.json"}</w:instrText>
      </w:r>
      <w:r w:rsidR="00C95139">
        <w:fldChar w:fldCharType="separate"/>
      </w:r>
      <w:r w:rsidR="000B13BF" w:rsidRPr="000B13BF">
        <w:rPr>
          <w:noProof/>
        </w:rPr>
        <w:t>(Duxson et al., 2007b)</w:t>
      </w:r>
      <w:r w:rsidR="00C95139">
        <w:fldChar w:fldCharType="end"/>
      </w:r>
      <w:r>
        <w:t xml:space="preserve">. A novel solution for creating high BR content inorganic polymers </w:t>
      </w:r>
      <w:r w:rsidR="00894BFE">
        <w:t xml:space="preserve">suitable for use in paving applications </w:t>
      </w:r>
      <w:r>
        <w:t xml:space="preserve">has been proposed by Hertel et al. </w:t>
      </w:r>
      <w:r>
        <w:fldChar w:fldCharType="begin" w:fldLock="1"/>
      </w:r>
      <w:r w:rsidR="000E418E">
        <w:instrText>ADDIN CSL_CITATION {"citationItems":[{"id":"ITEM-1","itemData":{"DOI":"10.1007/s40831-016-0080-6","ISSN":"2199-3823","author":[{"dropping-particle":"","family":"Hertel","given":"Tobias","non-dropping-particle":"","parse-names":false,"suffix":""},{"dropping-particle":"","family":"Blanpain","given":"Bart","non-dropping-particle":"","parse-names":false,"suffix":""},{"dropping-particle":"","family":"Pontikes","given":"Yiannis","non-dropping-particle":"","parse-names":false,"suffix":""}],"container-title":"Journal of Sustainable Metallurgy","id":"ITEM-1","issue":"4","issued":{"date-parts":[["2016"]]},"page":"394-404","publisher":"Springer International Publishing","title":"A Proposal for a 100 % Use of Bauxite Residue Towards Inorganic Polymer Mortar","type":"article-journal","volume":"2"},"suppress-author":1,"uris":["http://www.mendeley.com/documents/?uuid=39d46568-a872-40de-9de4-d5401a721766"]}],"mendeley":{"formattedCitation":"(2016)","plainTextFormattedCitation":"(2016)","previouslyFormattedCitation":"(2016)"},"properties":{"noteIndex":0},"schema":"https://github.com/citation-style-language/schema/raw/master/csl-citation.json"}</w:instrText>
      </w:r>
      <w:r>
        <w:fldChar w:fldCharType="separate"/>
      </w:r>
      <w:r w:rsidRPr="00E63892">
        <w:rPr>
          <w:noProof/>
        </w:rPr>
        <w:t>(2016)</w:t>
      </w:r>
      <w:r>
        <w:fldChar w:fldCharType="end"/>
      </w:r>
      <w:r>
        <w:t xml:space="preserve">, based on lab-scale results. From a technical perspective, this approach has a great deal of potential, however the sustainability issues associated with this solution are yet to be assessed. </w:t>
      </w:r>
    </w:p>
    <w:p w14:paraId="16E5473A" w14:textId="435A1781" w:rsidR="00F00DD8" w:rsidRDefault="00CF5810" w:rsidP="00894BFE">
      <w:r>
        <w:t>T</w:t>
      </w:r>
      <w:r w:rsidR="00F00DD8">
        <w:t xml:space="preserve">he EU Waste Framework directive </w:t>
      </w:r>
      <w:r w:rsidR="00315B98">
        <w:fldChar w:fldCharType="begin" w:fldLock="1"/>
      </w:r>
      <w:r w:rsidR="002B1423">
        <w:instrText>ADDIN CSL_CITATION {"citationItems":[{"id":"ITEM-1","itemData":{"DOI":"2008/98/EC.; 32008L0098","ISBN":"DIRECTIVE 2008/98/EC","abstract":"The essential objective of all provisions relating to waste disposal must be the protection of human health and the environment against harmful effects caused by the collection, transport, treatment, storage and tipping of waste. It introduces an approach that takes into account the whole life-cycle of products and materials and not only the waste phase. Member States shall take appropriate steps to focus on reducing the environmental impacts of waste generation and waste management, thereby strengthening the economic value of waste. Furthermore, the recovery of waste and the use of recovered materials should be encouraged in order to conserve natural resources. In order to ensure the protection of the environment, provisions have been made for a system of permits for undertakings which treat, store or tip waste on behalf of third parties, for a supervisory system for undertakings which dispose of their own waste and for those which collect the waste of others, and for a plan embracing the essential factors to be taken into consideration in respect of the various waste disposal operations. This directive strengthens the provisions relating to wasted prevention and energy efficiency.","author":[{"dropping-particle":"","family":"European Commission","given":"","non-dropping-particle":"","parse-names":false,"suffix":""}],"container-title":"Official Journal of the Europian Union","id":"ITEM-1","issued":{"date-parts":[["2008"]]},"page":"3-30","title":"Directive 2008/98/EC of the European Parliament and of the Council of 19 November 2008 on waste and repealing certain directives","type":"article-journal","volume":"L13"},"prefix":"Council Directive ","suffix":"/98/EC art. 4","suppress-author":1,"uris":["http://www.mendeley.com/documents/?uuid=2d6bf734-5707-4803-b6c7-0be977e842a8"]}],"mendeley":{"formattedCitation":"(Council Directive 2008/98/EC art. 4)","plainTextFormattedCitation":"(Council Directive 2008/98/EC art. 4)","previouslyFormattedCitation":"(Council Directive 2008/98/EC art. 4)"},"properties":{"noteIndex":0},"schema":"https://github.com/citation-style-language/schema/raw/master/csl-citation.json"}</w:instrText>
      </w:r>
      <w:r w:rsidR="00315B98">
        <w:fldChar w:fldCharType="separate"/>
      </w:r>
      <w:r w:rsidR="00315B98" w:rsidRPr="00315B98">
        <w:rPr>
          <w:noProof/>
        </w:rPr>
        <w:t>(Council Directive 2008/98/EC art. 4)</w:t>
      </w:r>
      <w:r w:rsidR="00315B98">
        <w:fldChar w:fldCharType="end"/>
      </w:r>
      <w:r w:rsidR="00F00DD8">
        <w:t xml:space="preserve"> makes clear that while the Waste Hierarchy</w:t>
      </w:r>
      <w:r w:rsidR="00F00DD8" w:rsidRPr="005D1727">
        <w:rPr>
          <w:rStyle w:val="FootnoteReference"/>
        </w:rPr>
        <w:footnoteReference w:id="4"/>
      </w:r>
      <w:r w:rsidR="00F00DD8">
        <w:t xml:space="preserve"> should be applied in priority order, measures should aim to deliver the </w:t>
      </w:r>
      <w:r w:rsidR="00F00DD8" w:rsidRPr="00566057">
        <w:rPr>
          <w:i/>
        </w:rPr>
        <w:t>‘best overall environmental outcome’</w:t>
      </w:r>
      <w:r w:rsidR="00F00DD8">
        <w:t xml:space="preserve"> based on </w:t>
      </w:r>
      <w:r w:rsidR="00F00DD8" w:rsidRPr="00566057">
        <w:rPr>
          <w:i/>
        </w:rPr>
        <w:t>‘life-cycle thinking on the overall impacts of the generation and management’</w:t>
      </w:r>
      <w:r w:rsidR="00F00DD8">
        <w:t xml:space="preserve"> of the waste.</w:t>
      </w:r>
      <w:r w:rsidR="00F00DD8" w:rsidRPr="00441322">
        <w:t xml:space="preserve"> </w:t>
      </w:r>
      <w:r w:rsidR="00F00DD8">
        <w:t>Focusing any study on the goal of landfill diversion alone would necessarily be mute on broader sustainability issues, and may not deliver the best overall environmental outcome.</w:t>
      </w:r>
      <w:r>
        <w:t xml:space="preserve"> </w:t>
      </w:r>
      <w:r w:rsidR="00F00DD8">
        <w:t xml:space="preserve">Similarly, for users of products derived from secondary materials, a life cycle approach to the assessment of the environmental performance of the materials is desirable. </w:t>
      </w:r>
      <w:r w:rsidR="00C95139">
        <w:t xml:space="preserve">Indeed, both BREEAM and LEED specifically refer to life cycle approaches in the assessment of sustainable materials </w:t>
      </w:r>
      <w:r w:rsidR="00C95139">
        <w:fldChar w:fldCharType="begin" w:fldLock="1"/>
      </w:r>
      <w:r w:rsidR="000E418E">
        <w:instrText>ADDIN CSL_CITATION {"citationItems":[{"id":"ITEM-1","itemData":{"author":[{"dropping-particle":"","family":"BRE Global","given":"","non-dropping-particle":"","parse-names":false,"suffix":""}],"id":"ITEM-1","issued":{"date-parts":[["2016"]]},"title":"BREEAM International New Construction 2016 Technical Manual","type":"report"},"uris":["http://www.mendeley.com/documents/?uuid=b6ce7d98-e413-4cb6-b2e6-d27f378302d7"]},{"id":"ITEM-2","itemData":{"author":[{"dropping-particle":"","family":"USGBC","given":"","non-dropping-particle":"","parse-names":false,"suffix":""}],"id":"ITEM-2","issued":{"date-parts":[["2017"]]},"title":"LEED v4 for Building Design and Construction","type":"article-journal"},"uris":["http://www.mendeley.com/documents/?uuid=3fa0f1aa-ef57-46ed-bb95-02127a19e66f"]}],"mendeley":{"formattedCitation":"(BRE Global, 2016; USGBC, 2017)","plainTextFormattedCitation":"(BRE Global, 2016; USGBC, 2017)","previouslyFormattedCitation":"(BRE Global, 2016; USGBC, 2017)"},"properties":{"noteIndex":0},"schema":"https://github.com/citation-style-language/schema/raw/master/csl-citation.json"}</w:instrText>
      </w:r>
      <w:r w:rsidR="00C95139">
        <w:fldChar w:fldCharType="separate"/>
      </w:r>
      <w:r w:rsidR="00C95139" w:rsidRPr="00C95139">
        <w:rPr>
          <w:noProof/>
        </w:rPr>
        <w:t>(BRE Global, 2016; USGBC, 2017)</w:t>
      </w:r>
      <w:r w:rsidR="00C95139">
        <w:fldChar w:fldCharType="end"/>
      </w:r>
      <w:r w:rsidR="00C95139">
        <w:t>.</w:t>
      </w:r>
    </w:p>
    <w:p w14:paraId="6A2BDF92" w14:textId="578529CC" w:rsidR="00EF378F" w:rsidRDefault="00F00DD8" w:rsidP="00894BFE">
      <w:r>
        <w:t xml:space="preserve">Thus, for both producers of waste and users of waste derived products, Life Cycle Assessment (LCA) is an important tool for understanding the potential environmental impact of products and processes from a holistic perspective. Applied properly it can be used to highlight major sources of impact and suggest alternative, more environmentally sustainable approaches to both product and process design </w:t>
      </w:r>
      <w:r>
        <w:fldChar w:fldCharType="begin" w:fldLock="1"/>
      </w:r>
      <w:r w:rsidR="000E418E">
        <w:instrText>ADDIN CSL_CITATION {"citationItems":[{"id":"ITEM-1","itemData":{"DOI":"10.1126/science.1248361","ISBN":"0036-8075","ISSN":"1095-9203","PMID":"24904154","abstract":"In the modern economy, international value chains-production, use, and disposal of goods-have global environmental impacts. Life Cycle Assessment (LCA) aims to track these impacts and assess them from a systems perspective, identifying strategies for improvement without burden shifting. We review recent developments in LCA, including existing and emerging applications aimed at supporting environmentally informed decisions in policy-making, product development and procurement, and consumer choices. LCA constitutes a viable screening tool that can pinpoint environmental hotspots in complex value chains, but we also caution that completeness in scope comes at the price of simplifications and uncertainties. Future advances of LCA in enhancing regional detail and accuracy as well as broadening the assessment to economic and social aspects will make it more relevant for producers and consumers alike.","author":[{"dropping-particle":"","family":"Hellweg","given":"S","non-dropping-particle":"","parse-names":false,"suffix":""},{"dropping-particle":"","family":"Milà i Canals","given":"Llorenç","non-dropping-particle":"","parse-names":false,"suffix":""}],"container-title":"Science","id":"ITEM-1","issue":"6188","issued":{"date-parts":[["2014"]]},"page":"1109-1113","title":"Emerging approaches, challenges and opportunities in life cycle assessment","type":"article-journal","volume":"344"},"uris":["http://www.mendeley.com/documents/?uuid=32f383fe-df2a-4312-b7ac-f645b42fec5f"]}],"mendeley":{"formattedCitation":"(Hellweg and Milà i Canals, 2014)","plainTextFormattedCitation":"(Hellweg and Milà i Canals, 2014)","previouslyFormattedCitation":"(Hellweg and Milà i Canals, 2014)"},"properties":{"noteIndex":0},"schema":"https://github.com/citation-style-language/schema/raw/master/csl-citation.json"}</w:instrText>
      </w:r>
      <w:r>
        <w:fldChar w:fldCharType="separate"/>
      </w:r>
      <w:r w:rsidRPr="00D26AAE">
        <w:rPr>
          <w:noProof/>
        </w:rPr>
        <w:t>(Hellweg and Milà i Canals, 2014)</w:t>
      </w:r>
      <w:r>
        <w:fldChar w:fldCharType="end"/>
      </w:r>
      <w:r>
        <w:t>.</w:t>
      </w:r>
    </w:p>
    <w:p w14:paraId="74EA3131" w14:textId="67B23F43" w:rsidR="00F00DD8" w:rsidRPr="00D16F78" w:rsidRDefault="00F00DD8" w:rsidP="00894BFE">
      <w:r>
        <w:t xml:space="preserve">Regardless of whether the study is product or process focussed, the timing of the study falls prey to the ‘design paradox’ </w:t>
      </w:r>
      <w:r>
        <w:fldChar w:fldCharType="begin" w:fldLock="1"/>
      </w:r>
      <w:r w:rsidR="000E418E">
        <w:instrText>ADDIN CSL_CITATION {"citationItems":[{"id":"ITEM-1","itemData":{"ISBN":"0-07-115576-7","author":[{"dropping-particle":"","family":"Ullman","given":"David G","non-dropping-particle":"","parse-names":false,"suffix":""}],"collection-title":"McGraw-Hill series in mechanical engineering","edition":"2. ed..","id":"ITEM-1","issued":{"date-parts":[["1997"]]},"publisher":"McGraw-Hill","publisher-place":"New York","title":"The mechanical design process","type":"book"},"uris":["http://www.mendeley.com/documents/?uuid=1ae58e3a-7261-4e18-b138-ef8220a598de"]}],"mendeley":{"formattedCitation":"(Ullman, 1997)","plainTextFormattedCitation":"(Ullman, 1997)","previouslyFormattedCitation":"(Ullman, 1997)"},"properties":{"noteIndex":0},"schema":"https://github.com/citation-style-language/schema/raw/master/csl-citation.json"}</w:instrText>
      </w:r>
      <w:r>
        <w:fldChar w:fldCharType="separate"/>
      </w:r>
      <w:r w:rsidR="00807758" w:rsidRPr="00807758">
        <w:rPr>
          <w:noProof/>
        </w:rPr>
        <w:t>(Ullman, 1997)</w:t>
      </w:r>
      <w:r>
        <w:fldChar w:fldCharType="end"/>
      </w:r>
      <w:r>
        <w:t xml:space="preserve">. In short, </w:t>
      </w:r>
      <w:r w:rsidR="00807758">
        <w:t xml:space="preserve">at the </w:t>
      </w:r>
      <w:r>
        <w:t xml:space="preserve">earlier </w:t>
      </w:r>
      <w:r w:rsidR="00807758">
        <w:t xml:space="preserve">stages </w:t>
      </w:r>
      <w:r>
        <w:t>in the design or development process, there is more scope for change in the design but knowledge of the specifics of the design is uncertain</w:t>
      </w:r>
      <w:r w:rsidR="00807758">
        <w:t>.</w:t>
      </w:r>
      <w:r w:rsidR="000B13BF">
        <w:t xml:space="preserve"> I</w:t>
      </w:r>
      <w:r w:rsidR="00807758">
        <w:t>n the latter stages of</w:t>
      </w:r>
      <w:r>
        <w:t xml:space="preserve"> the process the reverse is true</w:t>
      </w:r>
      <w:r w:rsidR="00807758">
        <w:t>; knowledge of the design is very good, but the ability to make changes to it is much more limited</w:t>
      </w:r>
      <w:r>
        <w:t>.</w:t>
      </w:r>
      <w:r w:rsidR="00807758">
        <w:t xml:space="preserve"> </w:t>
      </w:r>
      <w:r>
        <w:t xml:space="preserve">From the perspective of life cycle assessment, this poses a particular problem, as ‘product knowledge’ is analogous to the availability of reliable life cycle inventory (LCI) foreground data. Early in the design process, where the conclusions and recommendations of an LCA are potentially most useful, the data they are based on is of relatively poor quality. Conversely, as the data quality improves as knowledge of the design increases, the ability to make changes based </w:t>
      </w:r>
      <w:r w:rsidR="00EF378F">
        <w:t>on the LCA results decreases.</w:t>
      </w:r>
    </w:p>
    <w:p w14:paraId="576E1CAF" w14:textId="261C8757" w:rsidR="00F00DD8" w:rsidRDefault="00F00DD8" w:rsidP="00894BFE">
      <w:r>
        <w:t xml:space="preserve">One possible solution to the design paradox which is particularly suited to research and development, advocated by </w:t>
      </w:r>
      <w:proofErr w:type="spellStart"/>
      <w:r>
        <w:t>Wender</w:t>
      </w:r>
      <w:proofErr w:type="spellEnd"/>
      <w:r>
        <w:t xml:space="preserve"> et al. </w:t>
      </w:r>
      <w:r>
        <w:fldChar w:fldCharType="begin" w:fldLock="1"/>
      </w:r>
      <w:r w:rsidR="000E418E">
        <w:instrText>ADDIN CSL_CITATION {"citationItems":[{"id":"ITEM-1","itemData":{"DOI":"10.1017/CBO9781107415324.004","ISBN":"9788578110796","ISSN":"1098-6596","PMID":"25246403","abstract":"The goal of guiding innovation toward beneficial social and environmental outcomes - referred to in the growing literature as responsible research and innovation (RRI) - is intuitively worthwhile but lacks practicable tools for implementation. One potentially useful tool is life-cycle assessment (LCA), which is a comprehensive framework used to evaluate the environmental impacts of products, processes, and technologies. However, LCA ineffectively promotes RRI for at least two reasons: (1) Codified approaches to LCA are largely retrospective, relying heavily on data collected from mature industries with existing supply chains and (2) LCA underemphasizces the importance of stakeholder engagement to inform critical modeling decisions which diminishes the social credibility and relevance of results. LCA researchers have made piecemeal advances that address these shortcomings, yet there is no consensus regarding how to advance LCA to support RRI of emerging technologies. This paper advocates for development of anticipatory LCA as non-predictive and inclusive of uncertainty, which can be used to explore both reasonable and extreme-case scenarios of future environmental burdens associated with an emerging technology. By identifying the most relevant uncertainties and engaging research and development decision-makers, such anticipatory methods can generate alternative research agenda and provide a practicable tool to promote environmental RRI.","author":[{"dropping-particle":"","family":"Wender","given":"Ben A.","non-dropping-particle":"","parse-names":false,"suffix":""},{"dropping-particle":"","family":"Foley","given":"Rider W.","non-dropping-particle":"","parse-names":false,"suffix":""},{"dropping-particle":"","family":"Hottle","given":"Troy A.","non-dropping-particle":"","parse-names":false,"suffix":""},{"dropping-particle":"","family":"Sadowski","given":"Jathan","non-dropping-particle":"","parse-names":false,"suffix":""},{"dropping-particle":"","family":"Prado-López","given":"Valentina","non-dropping-particle":"","parse-names":false,"suffix":""},{"dropping-particle":"","family":"Eisenberg","given":"Daniel A.","non-dropping-particle":"","parse-names":false,"suffix":""},{"dropping-particle":"","family":"Laurin","given":"Lise","non-dropping-particle":"","parse-names":false,"suffix":""},{"dropping-particle":"","family":"Seager","given":"Thomas P.","non-dropping-particle":"","parse-names":false,"suffix":""}],"container-title":"Journal of Responsible Innovation","id":"ITEM-1","issue":"2","issued":{"date-parts":[["2014"]]},"page":"200-207","publisher":"Taylor &amp; Francis","title":"Anticipatory life-cycle assessment for responsible research and innovation","type":"article-journal","volume":"1"},"suppress-author":1,"uris":["http://www.mendeley.com/documents/?uuid=e81a3b5c-9df2-4840-8478-c73301c6f5ea"]}],"mendeley":{"formattedCitation":"(2014)","plainTextFormattedCitation":"(2014)","previouslyFormattedCitation":"(2014)"},"properties":{"noteIndex":0},"schema":"https://github.com/citation-style-language/schema/raw/master/csl-citation.json"}</w:instrText>
      </w:r>
      <w:r>
        <w:fldChar w:fldCharType="separate"/>
      </w:r>
      <w:r w:rsidRPr="00255475">
        <w:rPr>
          <w:noProof/>
        </w:rPr>
        <w:t>(2014)</w:t>
      </w:r>
      <w:r>
        <w:fldChar w:fldCharType="end"/>
      </w:r>
      <w:r>
        <w:t xml:space="preserve">, is to incorporate </w:t>
      </w:r>
      <w:r w:rsidRPr="00566057">
        <w:rPr>
          <w:i/>
        </w:rPr>
        <w:t>anticipatory LCA</w:t>
      </w:r>
      <w:r>
        <w:t xml:space="preserve"> at multiple stages in the research process. Rather than a major ‘one shot’ study this approach allows iterative changes </w:t>
      </w:r>
      <w:r w:rsidR="00A56AFC">
        <w:t>to</w:t>
      </w:r>
      <w:r>
        <w:t xml:space="preserve"> be made throughout the course of the research and development process.</w:t>
      </w:r>
      <w:r w:rsidRPr="00CB184C" w:rsidDel="00D02952">
        <w:t xml:space="preserve"> </w:t>
      </w:r>
      <w:r>
        <w:t>Another possible solution is to base the LCA not on primary data</w:t>
      </w:r>
      <w:r w:rsidR="00894BFE">
        <w:t xml:space="preserve"> collected</w:t>
      </w:r>
      <w:r>
        <w:t xml:space="preserve"> </w:t>
      </w:r>
      <w:r w:rsidR="00894BFE">
        <w:t>from</w:t>
      </w:r>
      <w:r>
        <w:t xml:space="preserve"> experiments that have been conducted at bench scale, but on mathematical models of the process</w:t>
      </w:r>
      <w:r w:rsidR="00EF378F">
        <w:t>,</w:t>
      </w:r>
      <w:r>
        <w:t xml:space="preserve"> grounded in the experimental data</w:t>
      </w:r>
      <w:r w:rsidR="00EF378F">
        <w:t xml:space="preserve"> but designed to represent</w:t>
      </w:r>
      <w:r>
        <w:t xml:space="preserve"> full plant scale. This </w:t>
      </w:r>
      <w:r>
        <w:lastRenderedPageBreak/>
        <w:t xml:space="preserve">approach has been productively applied to identify hotspots at early stages in process design in many cases, including biofuels </w:t>
      </w:r>
      <w:r>
        <w:fldChar w:fldCharType="begin" w:fldLock="1"/>
      </w:r>
      <w:r w:rsidR="000E418E">
        <w:instrText>ADDIN CSL_CITATION {"citationItems":[{"id":"ITEM-1","itemData":{"DOI":"10.1039/c4gc01124d","ISSN":"14639270","author":[{"dropping-particle":"","family":"Guo","given":"Miao","non-dropping-particle":"","parse-names":false,"suffix":""},{"dropping-particle":"","family":"Littlewood","given":"Jade","non-dropping-particle":"","parse-names":false,"suffix":""},{"dropping-particle":"","family":"Joyce","given":"James","non-dropping-particle":"","parse-names":false,"suffix":""},{"dropping-particle":"","family":"Murphy","given":"Rj","non-dropping-particle":"","parse-names":false,"suffix":""}],"container-title":"Green Chemistry","id":"ITEM-1","issued":{"date-parts":[["2014"]]},"page":"4680-4695","publisher":"Royal Society of Chemistry","title":"The environmental profile of bioethanol produced from current and potential future Poplar feedstocks in the EU","type":"article-journal"},"uris":["http://www.mendeley.com/documents/?uuid=a8f1bae4-c4e4-4567-8f4f-9ff89ce566bf","http://www.mendeley.com/documents/?uuid=c65f7920-b471-4ba7-8930-6742a1745d51"]},{"id":"ITEM-2","itemData":{"DOI":"10.1021/es2006995","ISBN":"1520-5851 (Electronic)\\r0013-936X (Linking)","ISSN":"0013936X","PMID":"21662987","abstract":"The use of algae as a feedstock for biodiesel production is a rapidly growing industry, in the United States and globally. A life cycle assessment (LCA) is presented that compares various methods, either proposed or under development, for algal biodiesel to inform the most promising pathways for sustainable full-scale production. For this analysis, the system is divided into five distinct process steps: (1) microalgae cultivation, (2) harvesting and/or dewatering, (3) lipid extraction, (4) conversion (transesterification) into biodiesel, and (5) byproduct management. A number of technology options are considered for each process step and various technology combinations are assessed for their life cycle environmental impacts. The optimal option for each process step is selected yielding a best case scenario, comprised of a flat panel enclosed photobioreactor and direct transesterification of algal cells with supercritical methanol. For a functional unit of 10 GJ biodiesel, the best case production system yields a cumulative energy demand savings of more than 65 GJ, reduces water consumption by 585 m(3) and decreases greenhouse gas emissions by 86% compared to a base case scenario typical of early industrial practices, highlighting the importance of technological innovation in algae processing and providing guidance on promising production pathways.","author":[{"dropping-particle":"","family":"Brentner","given":"Laura B.","non-dropping-particle":"","parse-names":false,"suffix":""},{"dropping-particle":"","family":"Eckelman","given":"Matthew J.","non-dropping-particle":"","parse-names":false,"suffix":""},{"dropping-particle":"","family":"Zimmerman","given":"Julie B.","non-dropping-particle":"","parse-names":false,"suffix":""}],"container-title":"Environmental Science and Technology","id":"ITEM-2","issue":"16","issued":{"date-parts":[["2011"]]},"page":"7060-7067","title":"Combinatorial life cycle assessment to inform process design of industrial production of algal biodiesel","type":"article-journal","volume":"45"},"uris":["http://www.mendeley.com/documents/?uuid=b7c856bd-07ba-4e8c-8fe5-f73ace3f5c10"]},{"id":"ITEM-3","itemData":{"DOI":"10.1016/j.compchemeng.2010.11.012","ISBN":"0098-1354","ISSN":"00981354","abstract":"This paper presents a methodology to integrate life cycle assessment (LCA) in thermo-economic models used for the optimal conceptual design of energy conversion systems. It is illustrated by an application to a thermo-economic model developed for the multi-objective optimization of combined synthetic natural gas (SNG) and electricity production from lignocellulosic biomass. The life cycle inventory (LCI) is written as a function of the parameters of the thermo-economic model. In this way, the obtained environmental indicators from the life cycle impact assessment (LCIA) are calculated as a function of the decision variables of process design. The LCIA results obtained with the developed methodology are compared with the results obtained by a conventional LCA of the same process. Then, a multi-objective environomic (i.e. thermodynamic, economic, environmental) optimization of the process superstructure is performed. The results highlight the important effects of process configuration, integration, efficiency and scale on the environmental impacts. ?? 2010 Elsevier Ltd.","author":[{"dropping-particle":"","family":"Gerber","given":"Léda","non-dropping-particle":"","parse-names":false,"suffix":""},{"dropping-particle":"","family":"Gassner","given":"Martin","non-dropping-particle":"","parse-names":false,"suffix":""},{"dropping-particle":"","family":"Maréchal","given":"Francois","non-dropping-particle":"","parse-names":false,"suffix":""}],"container-title":"Computers and Chemical Engineering","id":"ITEM-3","issue":"7","issued":{"date-parts":[["2011"]]},"page":"1265-1280","publisher":"Elsevier Ltd","title":"Systematic integration of LCA in process systems design: Application to combined fuel and electricity production from lignocellulosic biomass","type":"article-journal","volume":"35"},"uris":["http://www.mendeley.com/documents/?uuid=30d2c542-7819-4066-a189-d27d8ed35349"]}],"mendeley":{"formattedCitation":"(Brentner et al., 2011; Gerber et al., 2011; Guo et al., 2014)","plainTextFormattedCitation":"(Brentner et al., 2011; Gerber et al., 2011; Guo et al., 2014)","previouslyFormattedCitation":"(Brentner et al., 2011; Gerber et al., 2011; Guo et al., 2014)"},"properties":{"noteIndex":0},"schema":"https://github.com/citation-style-language/schema/raw/master/csl-citation.json"}</w:instrText>
      </w:r>
      <w:r>
        <w:fldChar w:fldCharType="separate"/>
      </w:r>
      <w:r w:rsidRPr="00651683">
        <w:rPr>
          <w:noProof/>
          <w:lang w:val="nl-BE"/>
        </w:rPr>
        <w:t>(Brentner et al., 2011; Gerber et al., 2011; Guo et al., 2014)</w:t>
      </w:r>
      <w:r>
        <w:fldChar w:fldCharType="end"/>
      </w:r>
      <w:r w:rsidRPr="00651683">
        <w:rPr>
          <w:lang w:val="nl-BE"/>
        </w:rPr>
        <w:t xml:space="preserve">, biorefinery processes </w:t>
      </w:r>
      <w:r w:rsidRPr="00807758">
        <w:fldChar w:fldCharType="begin" w:fldLock="1"/>
      </w:r>
      <w:r w:rsidR="000E418E">
        <w:rPr>
          <w:lang w:val="nl-BE"/>
        </w:rPr>
        <w:instrText>ADDIN CSL_CITATION {"citationItems":[{"id":"ITEM-1","itemData":{"DOI":"10.1016/j.resconrec.2014.08.011","ISBN":"0921-3449","ISSN":"18790658","abstract":"This paper deals with the application of Life Cycle Assessment (LCA) methodology for process design, and presents the initial findings of this analysis qualitatively. The work identifies a need for a methodological development of Life Cycle Process Design (LCPD). This is underpinned by a broad literature review. The literature review shows that the application of LCA as an environmental design instrument is recognized in literature. In contrast to that there is hardly any hint which role Life Cycle Costing (LCC) could play within environmental process design. Most interesting in this line is, how LCA and LCC can be combined for environmental process design to be finally the core instruments of LCPD. The applicability of LCA and LCC within LCPD is shown on the example of a novel biorefinery process under development. Both instruments (LCA and LCC) are already applied during basic process development in this work, parallel to laboratory research. The aim is to identify potential environmental threats at an early stage of process design and also to give a hint on economic feasibility. Additionally a trade-off between environmental and economic issues can be drawn out. On the basis of this analysis the role of LCA during process development is highlighted as well as difficulties and challenges are emphasized. One of the major obstacles is data availability for LCA as well as LCC in the basic design stage of a biotechnological process. The findings of this paper serve as basis for the methodological development of LCPD. It is emphasized that conducting LCA and LCC during basic process development can reveal some relevant action areas for process engineers, which may influence technical as well as economic feasibility. The results presented have to be understood as a first outlook and provide key aspects for future research on the topic of accompanying basic process research projects with LCA and LCC to support future sustainable process design.","author":[{"dropping-particle":"","family":"Fazeni","given":"Karin","non-dropping-particle":"","parse-names":false,"suffix":""},{"dropping-particle":"","family":"Lindorfer","given":"Johannes","non-dropping-particle":"","parse-names":false,"suffix":""},{"dropping-particle":"","family":"Prammer","given":"Heinz","non-dropping-particle":"","parse-names":false,"suffix":""}],"container-title":"Resources, Conservation and Recycling","id":"ITEM-1","issued":{"date-parts":[["2014"]]},"page":"66-77","publisher":"Elsevier B.V.","title":"Methodological advancements in Life Cycle Process Design: A preliminary outlook","type":"article-journal","volume":"92"},"uris":["http://www.mendeley.com/documents/?uuid=64e81692-c81d-4fdb-b217-90ee2faa7d44"]}],"mendeley":{"formattedCitation":"(Fazeni et al., 2014)","plainTextFormattedCitation":"(Fazeni et al., 2014)","previouslyFormattedCitation":"(Fazeni et al., 2014)"},"properties":{"noteIndex":0},"schema":"https://github.com/citation-style-language/schema/raw/master/csl-citation.json"}</w:instrText>
      </w:r>
      <w:r w:rsidRPr="00807758">
        <w:fldChar w:fldCharType="separate"/>
      </w:r>
      <w:r w:rsidRPr="00D02952">
        <w:rPr>
          <w:noProof/>
        </w:rPr>
        <w:t>(Fazeni et al., 2014)</w:t>
      </w:r>
      <w:r w:rsidRPr="00807758">
        <w:fldChar w:fldCharType="end"/>
      </w:r>
      <w:r>
        <w:t xml:space="preserve">, and gasification technology </w:t>
      </w:r>
      <w:r>
        <w:fldChar w:fldCharType="begin" w:fldLock="1"/>
      </w:r>
      <w:r w:rsidR="000E418E">
        <w:instrText>ADDIN CSL_CITATION {"citationItems":[{"id":"ITEM-1","itemData":{"DOI":"10.1162/108819803323059415","ISBN":"1530-9290","ISSN":"1088-1980","abstract":"This article presents the application of life-cycle assessment in early phases of process design in the context of technology that employs a bio-based material. The goal is to identify hot spots in the process chains with regard to environmental im- pacts by performing a dominance analysis. By focusing his ac- tivities on the hot spots identified, the designer is given the opportunity to efficiently improve environmental perfor- mance. This approach is illustrated for the case of supercritical water gasification, a novel technology for the treatment of organic feedstock with high moisture content. In the reactor under supercritical conditions, organic components are con- verted into a high-caloric synthesis gas, with hydrogen, meth- ane, and carbon dioxide as the main products. The data used for the assessment are obtained from laboratory tests and the literature, completed by assumptions for missing data. The scope of assessment ranges from the extraction of raw ma- terials to the product, that is, hydrogen (cradle to gate) with sewage sludge of a municipal wastewater treatment plant used as feedstock. The assessment identifies the main sources of environmental impacts. The predominant process step in terms of global warming potential is the supply of the gasifi- cation process with additional heat. The production of a blend- ing agent in the dewatering step is the main source of the impact category of acidification, whereas the wastewater treatment plant is the origin of emissions that lead to eutro- phication. The revealed sources are analyzed further and op- tions for reducing the environmental impacts are discussed.","author":[{"dropping-particle":"","family":"Gasafi","given":"Edgar","non-dropping-particle":"","parse-names":false,"suffix":""},{"dropping-particle":"","family":"Meyer","given":"Lutz","non-dropping-particle":"","parse-names":false,"suffix":""},{"dropping-particle":"","family":"Schebek","given":"Liselotte","non-dropping-particle":"","parse-names":false,"suffix":""}],"container-title":"Journal of Industrial Ecology","id":"ITEM-1","issue":"3-4","issued":{"date-parts":[["2003"]]},"page":"75-91","title":"Using Life-Cycle Assessment in Process Design. Supercritical Water Gasification of Organic Feedstocks","type":"article-journal","volume":"7"},"uris":["http://www.mendeley.com/documents/?uuid=a29c75af-7156-42b2-a4e2-466a410e2c5a"]}],"mendeley":{"formattedCitation":"(Gasafi et al., 2003)","plainTextFormattedCitation":"(Gasafi et al., 2003)","previouslyFormattedCitation":"(Gasafi et al., 2003)"},"properties":{"noteIndex":0},"schema":"https://github.com/citation-style-language/schema/raw/master/csl-citation.json"}</w:instrText>
      </w:r>
      <w:r>
        <w:fldChar w:fldCharType="separate"/>
      </w:r>
      <w:r w:rsidRPr="00D02952">
        <w:rPr>
          <w:noProof/>
        </w:rPr>
        <w:t>(Gasafi et al., 2003)</w:t>
      </w:r>
      <w:r>
        <w:fldChar w:fldCharType="end"/>
      </w:r>
      <w:r>
        <w:t>. In this study we combine both approaches.</w:t>
      </w:r>
    </w:p>
    <w:p w14:paraId="0EC81FAE" w14:textId="6CF89DF4" w:rsidR="00B43A47" w:rsidRDefault="00F00DD8" w:rsidP="00B43A47">
      <w:r>
        <w:t xml:space="preserve">The aim of this study is to identify potential hotspots of environmental impact in the production of paving blocks from novel high BR content inorganic polymers, with a view to identifying opportunities to reduce this impact prior to the final development of the technology. In order to achieve this, we apply the anticipatory LCA methodology to the early stages of the development </w:t>
      </w:r>
      <w:r w:rsidR="00F6336B">
        <w:t xml:space="preserve">of </w:t>
      </w:r>
      <w:r>
        <w:t>the technology</w:t>
      </w:r>
      <w:r w:rsidR="00F6336B">
        <w:t>.</w:t>
      </w:r>
      <w:r w:rsidR="004124EC">
        <w:t xml:space="preserve"> The results of this study will be of benefit to the engineers and scientists developing the technology.</w:t>
      </w:r>
      <w:r>
        <w:t xml:space="preserve"> The LCA is based on lab</w:t>
      </w:r>
      <w:r w:rsidR="00A56AFC">
        <w:t>oratory</w:t>
      </w:r>
      <w:r>
        <w:t xml:space="preserve"> scale experiments modelled to represent full scale production. This study represents the </w:t>
      </w:r>
      <w:r w:rsidR="004124EC">
        <w:t>beginning of</w:t>
      </w:r>
      <w:r>
        <w:t xml:space="preserve"> an </w:t>
      </w:r>
      <w:r w:rsidR="00EF378F">
        <w:t>ongoing process</w:t>
      </w:r>
      <w:r>
        <w:t xml:space="preserve"> of assessment through</w:t>
      </w:r>
      <w:r w:rsidR="004124EC">
        <w:t>out</w:t>
      </w:r>
      <w:r>
        <w:t xml:space="preserve"> the development of this technology.</w:t>
      </w:r>
    </w:p>
    <w:p w14:paraId="1CD86DCC" w14:textId="77777777" w:rsidR="00F00DD8" w:rsidRDefault="00F00DD8" w:rsidP="00566057">
      <w:pPr>
        <w:pStyle w:val="Heading1"/>
      </w:pPr>
      <w:r>
        <w:t>Background</w:t>
      </w:r>
    </w:p>
    <w:p w14:paraId="35F8F61D" w14:textId="3E263DCE" w:rsidR="00F00DD8" w:rsidRDefault="00F00DD8" w:rsidP="00255475">
      <w:pPr>
        <w:pStyle w:val="Heading2"/>
      </w:pPr>
      <w:r>
        <w:t>Inorganic polymers as building materials</w:t>
      </w:r>
    </w:p>
    <w:p w14:paraId="6CD352B5" w14:textId="4B7A0B8D" w:rsidR="00381D49" w:rsidRDefault="00F00DD8" w:rsidP="00894BFE">
      <w:r>
        <w:t>Inorganic polymers, and the closely related geopolymers, are binders: substances which as a result of a chemical reaction form a solid matrix in which aggregates can be entrained. The term g</w:t>
      </w:r>
      <w:r w:rsidRPr="00255475">
        <w:t>eopolymer</w:t>
      </w:r>
      <w:r>
        <w:t xml:space="preserve"> was introduced by the French scientist Joseph Davidovits in the 1970s</w:t>
      </w:r>
      <w:r w:rsidRPr="00255475">
        <w:t xml:space="preserve"> </w:t>
      </w:r>
      <w:r w:rsidRPr="00255475">
        <w:fldChar w:fldCharType="begin" w:fldLock="1"/>
      </w:r>
      <w:r w:rsidR="000E418E">
        <w:instrText>ADDIN CSL_CITATION {"citationItems":[{"id":"ITEM-1","itemData":{"DOI":"10.1007/BF01912193","ISSN":"1572-8943","abstract":"Spectacular technological progress has been made in the last few years through the development of new materials such as `geopolymers', and new techniques, such as 'sol-gel'. New state-of-the-art materials designed with the help of geopolymerization reactions are opening up new applications and procedures and transforming ideas that have been taken for granted in inorganic chemistry. High temperature techniques are no longer necessary to obtain materials which are ceramic-like in their structures and properties. These materials can polycondense just like organic polymers, at temperatures lower than 100{\\textdaggerdbl}. Geopolymerization involves the chemical reaction of alumino-silicate oxides (Al3+ in IV-fold coordination) with alkali polysilicates yielding polymeric Si-O-Al bonds; the amorphous to semi-crystalline three dimensional silico-aluminate structures are of the Poly(sialate) type (-SiO-Al-O-), the Poly(sialate-siloxo) type (-Si-O-Al-O-Si-O-), the Poly(sialate-disiloxo) type (-Si-O-Al-O-Si-O-Si-O-).","author":[{"dropping-particle":"","family":"Davidovits","given":"J","non-dropping-particle":"","parse-names":false,"suffix":""}],"container-title":"Journal of thermal analysis","id":"ITEM-1","issue":"8","issued":{"date-parts":[["1991","8"]]},"page":"1633-1656","title":"Geopolymers","type":"article-journal","volume":"37"},"uris":["http://www.mendeley.com/documents/?uuid=5ddd7ba1-33d3-4794-95d3-ee5af3cf6e88","http://www.mendeley.com/documents/?uuid=d8753700-77c2-4b42-955d-728bcb1e0650"]}],"mendeley":{"formattedCitation":"(Davidovits, 1991)","plainTextFormattedCitation":"(Davidovits, 1991)","previouslyFormattedCitation":"(Davidovits, 1991)"},"properties":{"noteIndex":0},"schema":"https://github.com/citation-style-language/schema/raw/master/csl-citation.json"}</w:instrText>
      </w:r>
      <w:r w:rsidRPr="00255475">
        <w:fldChar w:fldCharType="separate"/>
      </w:r>
      <w:r w:rsidRPr="00255475">
        <w:rPr>
          <w:noProof/>
        </w:rPr>
        <w:t>(Davidovits, 1991)</w:t>
      </w:r>
      <w:r w:rsidRPr="00255475">
        <w:fldChar w:fldCharType="end"/>
      </w:r>
      <w:r w:rsidRPr="00255475">
        <w:t xml:space="preserve"> </w:t>
      </w:r>
      <w:r>
        <w:t xml:space="preserve"> for an amorphous</w:t>
      </w:r>
      <w:r w:rsidR="00053FC0">
        <w:t xml:space="preserve"> alkali</w:t>
      </w:r>
      <w:r w:rsidR="00053FC0">
        <w:noBreakHyphen/>
      </w:r>
      <w:r w:rsidRPr="00255475">
        <w:t xml:space="preserve">aluminosilicate binder formed by the reaction of an aluminosilicate precursor, such as metakaolin, with an alkali(-silicate) solution. </w:t>
      </w:r>
      <w:r>
        <w:t xml:space="preserve">The mixing of the solid precursor with the alkali activating solution, to start the polymerisation reactions, is referred to as ‘activation’. </w:t>
      </w:r>
      <w:r w:rsidRPr="00255475">
        <w:t xml:space="preserve">The dissolved aluminate and silicate species form gels when oversaturation is reached and further condensation and rearrangement leads to the formation of a 3D network </w:t>
      </w:r>
      <w:r>
        <w:t xml:space="preserve"> where tetrahedral Al and Si are connected via oxygen bridges </w:t>
      </w:r>
      <w:r>
        <w:fldChar w:fldCharType="begin" w:fldLock="1"/>
      </w:r>
      <w:r w:rsidR="000E418E">
        <w:instrText>ADDIN CSL_CITATION {"citationItems":[{"id":"ITEM-1","itemData":{"DOI":"10.1007/s10853-006-0637-z","ISBN":"0022-2461","ISSN":"00222461","PMID":"25246403","abstract":"A brief history and review of geopolymer technology is presented with the aim of introducing the technology and the vast categories of materials that may be synthesized by alkali-activation of aluminosi- licates. The fundamental chemical and structural characteristics of geopolymers derived from metakao- lin, fly ash and slag are explored in terms of the effects of raw material selection on the properties of geo- polymer composites. It is shown that the raw materials and processing conditions are critical in determining the setting behavior, workability and chemical and physical properties of geopolymeric products. The structural and chemical characteristics that are com- mon to all geopolymeric materials are presented, as well as those that are determined by the specific interactions occurring in different systems, providing the ability for tailored design of geopolymers to specific applications in terms of both technical and commercial requirements. P.","author":[{"dropping-particle":"","family":"Duxson","given":"Peter","non-dropping-particle":"","parse-names":false,"suffix":""},{"dropping-particle":"","family":"Fernández-Jiménez","given":"A.","non-dropping-particle":"","parse-names":false,"suffix":""},{"dropping-particle":"","family":"Provis","given":"J. L.","non-dropping-particle":"","parse-names":false,"suffix":""},{"dropping-particle":"","family":"Lukey","given":"G. C.","non-dropping-particle":"","parse-names":false,"suffix":""},{"dropping-particle":"","family":"Palomo","given":"A.","non-dropping-particle":"","parse-names":false,"suffix":""},{"dropping-particle":"","family":"Deventer","given":"J. S J","non-dropping-particle":"Van","parse-names":false,"suffix":""}],"container-title":"Journal of Materials Science","id":"ITEM-1","issue":"9","issued":{"date-parts":[["2007"]]},"page":"2917-2933","title":"Geopolymer technology: The current state of the art","type":"article-journal","volume":"42"},"uris":["http://www.mendeley.com/documents/?uuid=7628d93d-8fe0-4992-8bab-aae032648ffa"]}],"mendeley":{"formattedCitation":"(Duxson et al., 2007a)","plainTextFormattedCitation":"(Duxson et al., 2007a)","previouslyFormattedCitation":"(Duxson et al., 2007a)"},"properties":{"noteIndex":0},"schema":"https://github.com/citation-style-language/schema/raw/master/csl-citation.json"}</w:instrText>
      </w:r>
      <w:r>
        <w:fldChar w:fldCharType="separate"/>
      </w:r>
      <w:r w:rsidR="000B13BF" w:rsidRPr="000B13BF">
        <w:rPr>
          <w:noProof/>
        </w:rPr>
        <w:t>(Duxson et al., 2007a)</w:t>
      </w:r>
      <w:r>
        <w:fldChar w:fldCharType="end"/>
      </w:r>
      <w:r w:rsidRPr="00255475">
        <w:t xml:space="preserve">. </w:t>
      </w:r>
      <w:r w:rsidR="00381D49">
        <w:t xml:space="preserve">A simplified representation of this process is shown in </w:t>
      </w:r>
      <w:r w:rsidR="00381D49">
        <w:fldChar w:fldCharType="begin"/>
      </w:r>
      <w:r w:rsidR="00381D49">
        <w:instrText xml:space="preserve"> REF _Ref499042784 \h </w:instrText>
      </w:r>
      <w:r w:rsidR="00381D49">
        <w:fldChar w:fldCharType="separate"/>
      </w:r>
      <w:r w:rsidR="002B1423">
        <w:t xml:space="preserve">Figure </w:t>
      </w:r>
      <w:r w:rsidR="002B1423">
        <w:rPr>
          <w:noProof/>
        </w:rPr>
        <w:t>1</w:t>
      </w:r>
      <w:r w:rsidR="00381D49">
        <w:fldChar w:fldCharType="end"/>
      </w:r>
      <w:r w:rsidR="00381D49">
        <w:t>.</w:t>
      </w:r>
    </w:p>
    <w:p w14:paraId="198CA1E1" w14:textId="6AFCF525" w:rsidR="00381D49" w:rsidRDefault="009849C2" w:rsidP="00381D49">
      <w:pPr>
        <w:keepNext/>
      </w:pPr>
      <w:r>
        <w:rPr>
          <w:noProof/>
          <w:lang w:eastAsia="en-GB"/>
        </w:rPr>
        <w:drawing>
          <wp:inline distT="0" distB="0" distL="0" distR="0" wp14:anchorId="5A3871E7" wp14:editId="12ADA71D">
            <wp:extent cx="5400000" cy="15088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00" cy="1508818"/>
                    </a:xfrm>
                    <a:prstGeom prst="rect">
                      <a:avLst/>
                    </a:prstGeom>
                    <a:noFill/>
                  </pic:spPr>
                </pic:pic>
              </a:graphicData>
            </a:graphic>
          </wp:inline>
        </w:drawing>
      </w:r>
    </w:p>
    <w:p w14:paraId="10D9976B" w14:textId="7D13C9F6" w:rsidR="00381D49" w:rsidRDefault="00381D49" w:rsidP="00381D49">
      <w:pPr>
        <w:pStyle w:val="Caption"/>
      </w:pPr>
      <w:bookmarkStart w:id="0" w:name="_Ref499042784"/>
      <w:bookmarkStart w:id="1" w:name="_Ref499042779"/>
      <w:r>
        <w:t xml:space="preserve">Figure </w:t>
      </w:r>
      <w:r>
        <w:fldChar w:fldCharType="begin"/>
      </w:r>
      <w:r>
        <w:instrText xml:space="preserve"> SEQ Figure \* ARABIC </w:instrText>
      </w:r>
      <w:r>
        <w:fldChar w:fldCharType="separate"/>
      </w:r>
      <w:r w:rsidR="002B1423">
        <w:rPr>
          <w:noProof/>
        </w:rPr>
        <w:t>1</w:t>
      </w:r>
      <w:r>
        <w:fldChar w:fldCharType="end"/>
      </w:r>
      <w:bookmarkEnd w:id="0"/>
      <w:r>
        <w:t xml:space="preserve"> Simplified inorganic polymerisation process</w:t>
      </w:r>
      <w:bookmarkEnd w:id="1"/>
    </w:p>
    <w:p w14:paraId="2B06898F" w14:textId="79680DB1" w:rsidR="00F00DD8" w:rsidRPr="00255475" w:rsidRDefault="00F00DD8" w:rsidP="00894BFE">
      <w:r w:rsidRPr="00255475">
        <w:t xml:space="preserve">Inorganic polymer </w:t>
      </w:r>
      <w:r>
        <w:t xml:space="preserve">is a more general term </w:t>
      </w:r>
      <w:r w:rsidR="00E16852">
        <w:t xml:space="preserve">than geopolymer, </w:t>
      </w:r>
      <w:r>
        <w:t xml:space="preserve">and can be considered a </w:t>
      </w:r>
      <w:proofErr w:type="spellStart"/>
      <w:r w:rsidRPr="00E16852">
        <w:rPr>
          <w:i/>
        </w:rPr>
        <w:t>supergroup</w:t>
      </w:r>
      <w:proofErr w:type="spellEnd"/>
      <w:r w:rsidRPr="00255475">
        <w:t xml:space="preserve"> with a deviation from the </w:t>
      </w:r>
      <w:r>
        <w:t xml:space="preserve">original </w:t>
      </w:r>
      <w:r w:rsidRPr="00255475">
        <w:t>aluminosilicate chemistry</w:t>
      </w:r>
      <w:r>
        <w:t>. Inorganic polymers (or IP) therefore al</w:t>
      </w:r>
      <w:r w:rsidRPr="00255475">
        <w:t>so encompass</w:t>
      </w:r>
      <w:r>
        <w:t xml:space="preserve"> </w:t>
      </w:r>
      <w:r w:rsidRPr="00255475">
        <w:t xml:space="preserve">other precursor materials, for instance, </w:t>
      </w:r>
      <w:r>
        <w:t xml:space="preserve">metallurgical slags, rich in Fe </w:t>
      </w:r>
      <w:r>
        <w:fldChar w:fldCharType="begin" w:fldLock="1"/>
      </w:r>
      <w:r w:rsidR="000E418E">
        <w:instrText>ADDIN CSL_CITATION {"citationItems":[{"id":"ITEM-1","itemData":{"DOI":"10.1007/s10853-006-0529-2","ISBN":"0022-2461","ISSN":"00222461","abstract":"The present experimental study investigates the feasibility of geopolymer synthesis from low Ca electric arc ferronickel slags. Additives used include kaolinite, sodium silicate, sodium hydroxide and water. The effect of the main factors considered (heating temperature, heating time and aging period) as well as of their interactions on the final compressive strength of the geopolymers produced was studied through a 2(3) factorial design. The experimental results and the variance analysis have shown that only aging period has a statistically very significant and positive effect on the final compressive strength while the effect of the other factors as well as of their interactions were either less significant or negligible. Identification of new phases formed in order to elucidate geopolymerisation mechanisms was carried out by XRD and FTIR. Sodalite, maghemite, thermonatrite, trona and calcite are the major phases identified. The structural integrity of the produced geopolymers was studied by subjecting them to accelerated freeze-thaw cycles. Finally, the durability of the produced geopolymers when immersed in various aquatic and acidic solutions was investigated.","author":[{"dropping-particle":"","family":"Komnitsas","given":"K.","non-dropping-particle":"","parse-names":false,"suffix":""},{"dropping-particle":"","family":"Zaharaki","given":"D.","non-dropping-particle":"","parse-names":false,"suffix":""},{"dropping-particle":"","family":"Perdikatsis","given":"V.","non-dropping-particle":"","parse-names":false,"suffix":""}],"container-title":"Journal of Materials Science","id":"ITEM-1","issue":"9","issued":{"date-parts":[["2007"]]},"page":"3073-3082","title":"Geopolymerisation of low calcium ferronickel slags","type":"article-journal","volume":"42"},"uris":["http://www.mendeley.com/documents/?uuid=3d4ea9a2-d0bc-4532-b39c-d3661080c1a3","http://www.mendeley.com/documents/?uuid=061037ae-8baa-4f84-9ee2-b65dabb4bac5"]},{"id":"ITEM-2","itemData":{"DOI":"10.1016/j.jhazmat.2011.12.039","ISBN":"0304-3894","ISSN":"03043894","PMID":"22252096","abstract":"The present work reports on the synthesis and properties of inorganic polymers (\" geopolymers\" ) made of 100% fly ash from lignite's combustion, 100% primary lead slag and mixtures of the two. In the inorganic polymers with both fly ash and lead slag the main crystalline phases detected are wüstite, magnetite, sodium zinc silicate, quartz, anorthite, and gehlenite; litharge partially dissolves. FTIR analysis in these samples revealed that the main peaks and bands of end members also exist, along with a new amorphous reaction product. In terms of microstructure, both fly ash and lead slag dissolve and contribute in the binding phase whereas the larger particles act as aggregates. For an increasing lead slag in the composition, the binding phase is changing in chemistry and reaches PbO values higher than 50. wt.% for the 100% lead slag inorganic polymer. Regarding the properties of fly ash and lead slag inorganic polymers, compressive strength is higher than 35. MPa in all cases and water absorption diminishes as the lead slag content increases. A comparison of leaching results before and after polymerisation reveals that pH is an important factor as Pb is immobilised in the binding phase, unlike Zn and As. © 2011 Elsevier B.V.","author":[{"dropping-particle":"","family":"Onisei","given":"S.","non-dropping-particle":"","parse-names":false,"suffix":""},{"dropping-particle":"","family":"Pontikes","given":"Y.","non-dropping-particle":"","parse-names":false,"suffix":""},{"dropping-particle":"","family":"Gerven","given":"T.","non-dropping-particle":"Van","parse-names":false,"suffix":""},{"dropping-particle":"","family":"Angelopoulos","given":"G. N.","non-dropping-particle":"","parse-names":false,"suffix":""},{"dropping-particle":"","family":"Velea","given":"T.","non-dropping-particle":"","parse-names":false,"suffix":""},{"dropping-particle":"","family":"Predica","given":"V.","non-dropping-particle":"","parse-names":false,"suffix":""},{"dropping-particle":"","family":"Moldovan","given":"P.","non-dropping-particle":"","parse-names":false,"suffix":""}],"container-title":"Journal of Hazardous Materials","id":"ITEM-2","issued":{"date-parts":[["2012"]]},"page":"101-110","publisher":"Elsevier B.V.","title":"Synthesis of inorganic polymers using fly ash and primary lead slag","type":"article-journal","volume":"205-206"},"uris":["http://www.mendeley.com/documents/?uuid=70154b0a-0b63-4032-9009-6231dc4a2b49"]}],"mendeley":{"formattedCitation":"(Komnitsas et al., 2007; Onisei et al., 2012)","plainTextFormattedCitation":"(Komnitsas et al., 2007; Onisei et al., 2012)","previouslyFormattedCitation":"(Komnitsas et al., 2007; Onisei et al., 2012)"},"properties":{"noteIndex":0},"schema":"https://github.com/citation-style-language/schema/raw/master/csl-citation.json"}</w:instrText>
      </w:r>
      <w:r>
        <w:fldChar w:fldCharType="separate"/>
      </w:r>
      <w:r w:rsidRPr="00255475">
        <w:rPr>
          <w:noProof/>
        </w:rPr>
        <w:t>(Komnitsas et al., 2007; Onisei et al., 2012)</w:t>
      </w:r>
      <w:r>
        <w:fldChar w:fldCharType="end"/>
      </w:r>
      <w:r>
        <w:t xml:space="preserve"> among various other residues or wastes </w:t>
      </w:r>
      <w:r>
        <w:fldChar w:fldCharType="begin" w:fldLock="1"/>
      </w:r>
      <w:r w:rsidR="000E418E">
        <w:instrText>ADDIN CSL_CITATION {"citationItems":[{"id":"ITEM-1","itemData":{"DOI":"10.1016/j.cemconres.2015.04.013","ISBN":"0008-8846","ISSN":"00088846","abstract":"Alkali activation is a highly active and rapidly developing field of activity in the global research and development community. Commercial-scale deployment of alkali-activated cements and concretes is now proceeding rapidly in multiple nations. This paper reviews the key developments in alkali-activated materials since 2011, with a particular focus on advances in characterisation techniques and structural understanding, binder precursors and activation approaches, durability testing and design, processing, and sustainability. The scientific and engineering developments described in this paper have underpinned the on-going scale-up activities. We also identify important needs for future research and development to support the optimal and appropriate utilisation of alkali activated materials as a component of a sustainable future construction materials industry.","author":[{"dropping-particle":"","family":"Provis","given":"John L.","non-dropping-particle":"","parse-names":false,"suffix":""},{"dropping-particle":"","family":"Palomo","given":"Angel","non-dropping-particle":"","parse-names":false,"suffix":""},{"dropping-particle":"","family":"Shi","given":"Caijun","non-dropping-particle":"","parse-names":false,"suffix":""}],"container-title":"Cement and Concrete Research","id":"ITEM-1","issued":{"date-parts":[["2015"]]},"page":"110-125","publisher":"Elsevier Ltd","title":"Advances in understanding alkali-activated materials","type":"article-journal","volume":"78"},"uris":["http://www.mendeley.com/documents/?uuid=b963a596-cfee-4639-b4d7-b5c26c042075","http://www.mendeley.com/documents/?uuid=8a76321e-b890-4eae-8238-7ec2fdba2167"]}],"mendeley":{"formattedCitation":"(Provis et al., 2015)","plainTextFormattedCitation":"(Provis et al., 2015)","previouslyFormattedCitation":"(Provis et al., 2015)"},"properties":{"noteIndex":0},"schema":"https://github.com/citation-style-language/schema/raw/master/csl-citation.json"}</w:instrText>
      </w:r>
      <w:r>
        <w:fldChar w:fldCharType="separate"/>
      </w:r>
      <w:r w:rsidRPr="000A7195">
        <w:rPr>
          <w:noProof/>
        </w:rPr>
        <w:t>(Provis et al., 2015)</w:t>
      </w:r>
      <w:r>
        <w:fldChar w:fldCharType="end"/>
      </w:r>
      <w:r w:rsidRPr="00255475">
        <w:t xml:space="preserve">. </w:t>
      </w:r>
      <w:r w:rsidR="00E16852">
        <w:t>As</w:t>
      </w:r>
      <w:r w:rsidR="00E16852" w:rsidRPr="00255475">
        <w:t xml:space="preserve"> binders</w:t>
      </w:r>
      <w:r w:rsidR="00E16852">
        <w:t>, inorganic- and geopolymers</w:t>
      </w:r>
      <w:r w:rsidR="00E16852" w:rsidRPr="00255475">
        <w:t xml:space="preserve"> draw attention because of their satisfying properties</w:t>
      </w:r>
      <w:r w:rsidR="00E16852">
        <w:t>,</w:t>
      </w:r>
      <w:r w:rsidR="00E16852" w:rsidRPr="00255475">
        <w:t xml:space="preserve"> often surpassing</w:t>
      </w:r>
      <w:r w:rsidR="00E16852">
        <w:t xml:space="preserve"> those of</w:t>
      </w:r>
      <w:r w:rsidR="00E16852" w:rsidRPr="00255475">
        <w:t xml:space="preserve"> conventional binders, such as high fire resistance, high compressive and flexural strength,</w:t>
      </w:r>
      <w:r w:rsidR="00E16852">
        <w:t xml:space="preserve"> and</w:t>
      </w:r>
      <w:r w:rsidR="00E16852" w:rsidRPr="00255475">
        <w:t xml:space="preserve"> chemical resistance </w:t>
      </w:r>
      <w:r w:rsidR="00E16852">
        <w:fldChar w:fldCharType="begin" w:fldLock="1"/>
      </w:r>
      <w:r w:rsidR="000E418E">
        <w:instrText>ADDIN CSL_CITATION {"citationItems":[{"id":"ITEM-1","itemData":{"DOI":"10.1617/s11527-011-9744-7","ISBN":"1359-5997 1871-6873","ISSN":"1359-5997","abstract":"The resistance to acid-induced corrosion of inorganic polymer (including \"fly ash geopolymer\") binders is examined, by exposing specimens to nitric and sulphuric acids at pH values between 1 and 3, and measuring the corroded depth as a function of exposure time. The inorganic polymer binders are shown to be affected by acid attack by surface corrosion, which contradicts some previous claims of extremely high acid resistance in such binders. Corroded depth is shown to be a more sensitive measure of the performance of inorganic polymer binders than change in mass, because acid attack on the highly-connected aluminosilicate network of an inorganic polymer binder leads to the formation of an apparently intact, but physically weak and porous, reaction product layer on the sample surface, rather than complete disappearance of the binder as is often the case for other binder types. A strong correlation between permeability and resistance to acid attack is noted across a wide range of inorganic polymer formulations, including samples based on fly ash, ground granulated blast furnace slag, and mixtures of the two. The presence of calcium (supplied either by a Class C fly ash or by slag) and of high alkali concentrations each show a positive influence on acid resistance, which is attributed to the reduction in mass transport rates through the finer and more tortuous pore networks of such binders.","author":[{"dropping-particle":"","family":"Lloyd","given":"Redmond R.","non-dropping-particle":"","parse-names":false,"suffix":""},{"dropping-particle":"","family":"Provis","given":"John L.","non-dropping-particle":"","parse-names":false,"suffix":""},{"dropping-particle":"","family":"Deventer","given":"Jannie S. J.","non-dropping-particle":"","parse-names":false,"suffix":""}],"container-title":"Materials and Structures","id":"ITEM-1","issue":"1-2","issued":{"date-parts":[["2012"]]},"page":"1-14","title":"Acid resistance of inorganic polymer binders. 1. Corrosion rate","type":"article-journal","volume":"45"},"uris":["http://www.mendeley.com/documents/?uuid=52103b49-feea-4c08-8b15-be6c6f76c936"]},{"id":"ITEM-2","itemData":{"DOI":"10.1016/j.cemconres.2007.08.018","ISBN":"0008-8846","ISSN":"00088846","abstract":"The potential position of and drivers for inorganic polymers (\"geopolymers\") as an element of the push for a sustainable concrete industry are discussed. These materials are alkali-activated aluminosilicates, with a much smaller CO2 footprint than traditional Portland cements, and display very good strength and chemical resistance properties as well as a variety of other potentially valuable characteristics. It is widely known that the widespread uptake of geopolymer technology is hindered by a number of factors, in particular issues to do with a lack of long-term (20+??years) durability data in this relatively young research field. There are also difficulties in compliance with some regulatory standards in Europe and North America, specifically those defining minimum clinker content levels or chemical compositions in cements. Work on resolving these issues is ongoing, with accelerated durability testing showing highly promising results with regard to salt scaling and freeze-thaw cycling. Geopolymer concrete compliance with performance-based standards is comparable to that of most other high-strength concretes. Issues to do with the distinction between geopolymers synthesised for cement replacement applications and those tailored for niche ceramic applications are also discussed. Particular attention is paid to the role of free alkali and silicate in poorly-formulated systems and its deleterious effects on concrete performance, which necessitates a more complete understanding of the chemistry of geopolymerisation for the technology to be successfully applied. The relationship between CO2 footprint and composition in comparison with Portland-based cements is quantified. ?? 2007 Elsevier Ltd. All rights reserved.","author":[{"dropping-particle":"","family":"Duxson","given":"Peter","non-dropping-particle":"","parse-names":false,"suffix":""},{"dropping-particle":"","family":"Provis","given":"John L.","non-dropping-particle":"","parse-names":false,"suffix":""},{"dropping-particle":"","family":"Lukey","given":"Grant C.","non-dropping-particle":"","parse-names":false,"suffix":""},{"dropping-particle":"","family":"Deventer","given":"Jannie S J","non-dropping-particle":"van","parse-names":false,"suffix":""}],"container-title":"Cement and Concrete Research","id":"ITEM-2","issue":"12","issued":{"date-parts":[["2007"]]},"page":"1590-1597","title":"The role of inorganic polymer technology in the development of 'green concrete'","type":"article-journal","volume":"37"},"uris":["http://www.mendeley.com/documents/?uuid=8583d2dd-84f0-40d7-b774-d22ca422dc16"]}],"mendeley":{"formattedCitation":"(Duxson et al., 2007b; Lloyd et al., 2012)","plainTextFormattedCitation":"(Duxson et al., 2007b; Lloyd et al., 2012)","previouslyFormattedCitation":"(Duxson et al., 2007b; Lloyd et al., 2012)"},"properties":{"noteIndex":0},"schema":"https://github.com/citation-style-language/schema/raw/master/csl-citation.json"}</w:instrText>
      </w:r>
      <w:r w:rsidR="00E16852">
        <w:fldChar w:fldCharType="separate"/>
      </w:r>
      <w:r w:rsidR="00E16852" w:rsidRPr="000B13BF">
        <w:rPr>
          <w:noProof/>
        </w:rPr>
        <w:t>(Duxson et al., 2007b; Lloyd et al., 2012)</w:t>
      </w:r>
      <w:r w:rsidR="00E16852">
        <w:fldChar w:fldCharType="end"/>
      </w:r>
      <w:r w:rsidR="00E16852" w:rsidRPr="00255475">
        <w:t>.</w:t>
      </w:r>
    </w:p>
    <w:p w14:paraId="34D7F051" w14:textId="2F1A4E53" w:rsidR="00F00DD8" w:rsidRDefault="00F00DD8" w:rsidP="00894BFE">
      <w:r>
        <w:t xml:space="preserve">In addition to their excellent material properties and the potential of using various waste streams as raw material, Van Deventer et al. </w:t>
      </w:r>
      <w:r>
        <w:fldChar w:fldCharType="begin" w:fldLock="1"/>
      </w:r>
      <w:r w:rsidR="000E418E">
        <w:instrText>ADDIN CSL_CITATION {"citationItems":[{"id":"ITEM-1","itemData":{"DOI":"10.1007/s12649-010-9015-9","ISBN":"18772641 (ISSN)","ISSN":"18772641","abstract":"Portland cement production has been identified as a primary contributor to the world’s Greenhouse gas emissions, calculated at around 5–8% of all manmade emissions worldwide. The majority of these emissions are inherent to the chemistry of cement and the high-temperature processing required for its synthesis, and so can only be avoided by radical changes in construction materials chemistry and synthesis pathways. Inorganic polymer (including “geopolymer”) binders provide an alternative to traditional cements with approximately 80% less CO 2 emissions, and are derived from industrial waste materials such as fly ash and metallurgical slags, which additionally provide a means of valorizing these wastes. This paper reviews the technical and commercial factors driving the growing commercial adoption of geopolymer technology, and explains that an understanding of the chemistry and mechanisms of geopolymer synthesis is pivotal for the optimal mix design of “green” concretes in industry. Demand pull by a carbon conscious market at a time of growing public awareness of climate change continues to be the key driver for the short term adoption of geopolymer concrete. A detailed chemical understanding of the properties of geopolymers, such as setting time, workability and durability, plays an enabling role in the commercialization process.","author":[{"dropping-particle":"","family":"Deventer","given":"Jannie S J","non-dropping-particle":"Van","parse-names":false,"suffix":""},{"dropping-particle":"","family":"Provis","given":"John L.","non-dropping-particle":"","parse-names":false,"suffix":""},{"dropping-particle":"","family":"Duxson","given":"Peter","non-dropping-particle":"","parse-names":false,"suffix":""},{"dropping-particle":"","family":"Brice","given":"David G.","non-dropping-particle":"","parse-names":false,"suffix":""}],"container-title":"Waste and Biomass Valorization","id":"ITEM-1","issue":"1","issued":{"date-parts":[["2010"]]},"page":"145-155","title":"Chemical research and climate change as drivers in the commercial adoption of alkali activated materials","type":"article-journal","volume":"1"},"suppress-author":1,"uris":["http://www.mendeley.com/documents/?uuid=02bc9206-ed29-4e28-96a0-ab1e2f6a55f2"]}],"mendeley":{"formattedCitation":"(2010)","plainTextFormattedCitation":"(2010)","previouslyFormattedCitation":"(2010)"},"properties":{"noteIndex":0},"schema":"https://github.com/citation-style-language/schema/raw/master/csl-citation.json"}</w:instrText>
      </w:r>
      <w:r>
        <w:fldChar w:fldCharType="separate"/>
      </w:r>
      <w:r w:rsidRPr="00255475">
        <w:rPr>
          <w:noProof/>
        </w:rPr>
        <w:t>(2010)</w:t>
      </w:r>
      <w:r>
        <w:fldChar w:fldCharType="end"/>
      </w:r>
      <w:r>
        <w:t xml:space="preserve"> highlights the potential for alkali activated materials (a further, higher classification of binders of which inorganic polymers form a part) as a low carbon alternative to concrete</w:t>
      </w:r>
      <w:r w:rsidR="00E16852">
        <w:t xml:space="preserve">, primarily due to the fact that the decomposition of limestone, releasing </w:t>
      </w:r>
      <w:proofErr w:type="spellStart"/>
      <w:r w:rsidR="00E16852">
        <w:t>geogenic</w:t>
      </w:r>
      <w:proofErr w:type="spellEnd"/>
      <w:r w:rsidR="00E16852">
        <w:t xml:space="preserve"> CO</w:t>
      </w:r>
      <w:r w:rsidR="00E16852" w:rsidRPr="00E16852">
        <w:rPr>
          <w:vertAlign w:val="subscript"/>
        </w:rPr>
        <w:t>2</w:t>
      </w:r>
      <w:r w:rsidR="00E16852">
        <w:t>, is an unavoidable step in the production of ordinary Portland cement clinker</w:t>
      </w:r>
      <w:r>
        <w:t xml:space="preserve">. However, prior to 2010 (at the time of writing for Van </w:t>
      </w:r>
      <w:r>
        <w:lastRenderedPageBreak/>
        <w:t xml:space="preserve">Deventer) few LCA studies had been carried out to confirm this potential. Buchwald et al. </w:t>
      </w:r>
      <w:r>
        <w:fldChar w:fldCharType="begin" w:fldLock="1"/>
      </w:r>
      <w:r w:rsidR="000E418E">
        <w:instrText>ADDIN CSL_CITATION {"citationItems":[{"id":"ITEM-1","itemData":{"ISBN":"8021428538","abstract":"So-called geopolymers or geopolymeric binders and cements are made by means of an alka-line activation of materials reactive in this respect. Such a material has to consist of a certain amount of silicate and aluminate phases which can be dissolved by the alkaline medium (so-lution containing alkali hydroxide, alkali silicate and/or alkali carbonate). In the consequence stable polymeric networks of alumosilicates will be formed. Concerning the \" reactive material \" there is a wide range of possible raw materials. Beside primary recourses like clay (after thermal activation) and natural pozzolan for instance vol-canic ashes, a considerable quantity of secondary recourses like ashes and slags from differ-ent processes can be used. How to evaluate these extremely different raw materials? Some researchers have published several comparisons referring solely to technical aspects like reactivity and strength. Usually one material group has been investigated separately without any comparison. The goal for this paper is to present an evaluation of different raw materials in which ecologi-cal (energetic and toxic load) and economic aspects has been implemented. Various technical aspects have been investigated like reactivity measurements and strength performance of hardened pastes.","author":[{"dropping-particle":"","family":"Buchwald","given":"A","non-dropping-particle":"","parse-names":false,"suffix":""},{"dropping-particle":"","family":"Dombrowski","given":"K","non-dropping-particle":"","parse-names":false,"suffix":""},{"dropping-particle":"","family":"Weil","given":"M","non-dropping-particle":"","parse-names":false,"suffix":""}],"container-title":"2nd International Symposium of Non-Traditional Cement and Concrete","id":"ITEM-1","issued":{"date-parts":[["2005"]]},"page":"32-40","title":"Evaluation of Primary and Secondary Materials under Technical, Ecological and Economic Aspects for the Use as Raw Materials in Geo-Polymeric Binders","type":"article-journal"},"suppress-author":1,"uris":["http://www.mendeley.com/documents/?uuid=995f3119-db31-481f-91bd-b74ace4d0638"]}],"mendeley":{"formattedCitation":"(2005)","plainTextFormattedCitation":"(2005)","previouslyFormattedCitation":"(2005)"},"properties":{"noteIndex":0},"schema":"https://github.com/citation-style-language/schema/raw/master/csl-citation.json"}</w:instrText>
      </w:r>
      <w:r>
        <w:fldChar w:fldCharType="separate"/>
      </w:r>
      <w:r w:rsidRPr="00255475">
        <w:rPr>
          <w:noProof/>
        </w:rPr>
        <w:t>(2005)</w:t>
      </w:r>
      <w:r>
        <w:fldChar w:fldCharType="end"/>
      </w:r>
      <w:r>
        <w:t xml:space="preserve"> provided a semi-quantitative assessment of environmental issues surrounding geopolymers alongside economic considerations as part of a multi criteria assessment, however Weil et al. </w:t>
      </w:r>
      <w:r>
        <w:fldChar w:fldCharType="begin" w:fldLock="1"/>
      </w:r>
      <w:r w:rsidR="000E418E">
        <w:instrText>ADDIN CSL_CITATION {"citationItems":[{"id":"ITEM-1","itemData":{"DOI":"10.1533/9781845696382.2.194","author":[{"dropping-particle":"","family":"Weil","given":"M","non-dropping-particle":"","parse-names":false,"suffix":""},{"dropping-particle":"","family":"Dombrowski","given":"K","non-dropping-particle":"","parse-names":false,"suffix":""},{"dropping-particle":"","family":"Buchwald","given":"A","non-dropping-particle":"","parse-names":false,"suffix":""}],"chapter-number":"10","container-title":"Geopolymers: Structure, processing, properties and industrial applications","editor":[{"dropping-particle":"","family":"Provis","given":"J L","non-dropping-particle":"","parse-names":false,"suffix":""},{"dropping-particle":"","family":"Deventer","given":"J S J","non-dropping-particle":"Van","parse-names":false,"suffix":""}],"id":"ITEM-1","issued":{"date-parts":[["2009"]]},"page":"194-210","publisher":"Woodhead Publishing Limited","publisher-place":"Oxford","title":"Life-cycle analysis of geopolymers","type":"chapter"},"suppress-author":1,"uris":["http://www.mendeley.com/documents/?uuid=a160c83d-9779-4913-883f-d55474c4255c"]}],"mendeley":{"formattedCitation":"(2009)","plainTextFormattedCitation":"(2009)","previouslyFormattedCitation":"(2009)"},"properties":{"noteIndex":0},"schema":"https://github.com/citation-style-language/schema/raw/master/csl-citation.json"}</w:instrText>
      </w:r>
      <w:r>
        <w:fldChar w:fldCharType="separate"/>
      </w:r>
      <w:r w:rsidRPr="00255475">
        <w:rPr>
          <w:noProof/>
        </w:rPr>
        <w:t>(2009)</w:t>
      </w:r>
      <w:r>
        <w:fldChar w:fldCharType="end"/>
      </w:r>
      <w:r>
        <w:t xml:space="preserve"> provided the first major contribution in this area. In addition to the carbon reductions later pointed out by Van Deventer, Weil et al. also raised the need to go beyond just comparing CO</w:t>
      </w:r>
      <w:r w:rsidRPr="00D9025B">
        <w:rPr>
          <w:vertAlign w:val="subscript"/>
        </w:rPr>
        <w:t>2</w:t>
      </w:r>
      <w:r>
        <w:t xml:space="preserve"> emissions to Portland cement. They broadly </w:t>
      </w:r>
      <w:r w:rsidR="00D9025B">
        <w:t>conclude</w:t>
      </w:r>
      <w:r w:rsidR="00E36190">
        <w:t>d</w:t>
      </w:r>
      <w:r>
        <w:t xml:space="preserve"> that the silicate and </w:t>
      </w:r>
      <w:proofErr w:type="spellStart"/>
      <w:r>
        <w:t>NaOH</w:t>
      </w:r>
      <w:proofErr w:type="spellEnd"/>
      <w:r>
        <w:t xml:space="preserve"> solutions used to activate the precursor are a hotspot of impact, and their use should be reduced as much as is practical. They also concluded that resource intensive precursor materials (e.g. metakaolin) should be substituted if possible by less resource intensive or secondary materials (subject to availability and environmental limits). Sand and gravel</w:t>
      </w:r>
      <w:r w:rsidR="00E16852">
        <w:t>, when used as aggregates,</w:t>
      </w:r>
      <w:r>
        <w:t xml:space="preserve"> are a ’cold-spot’ i.e. even significant usage of these materials in the mix design contributes little to overall impact. Heat curing is also identified as a possible process hotspot.</w:t>
      </w:r>
    </w:p>
    <w:p w14:paraId="5B2B2432" w14:textId="734C5A8B" w:rsidR="00F00DD8" w:rsidRDefault="00F00DD8" w:rsidP="00894BFE">
      <w:r>
        <w:t xml:space="preserve">Subsequent studies have confirmed these earlier findings, particularly when low resource intensity, secondary materials are utilised in the precursor. McLellan et al. </w:t>
      </w:r>
      <w:r>
        <w:fldChar w:fldCharType="begin" w:fldLock="1"/>
      </w:r>
      <w:r w:rsidR="000E418E">
        <w:instrText>ADDIN CSL_CITATION {"citationItems":[{"id":"ITEM-1","itemData":{"DOI":"10.1016/j.jclepro.2011.02.010","ISBN":"0959-6526","ISSN":"09596526","abstract":"Geopolymer concrete is seen as a potential alternative to standard concrete, and an opportunity to convert a variety of waste streams into useful by-products. One key driver in geopolymer development is the desire to reduce greenhouse gas emissions from the production of concrete products. This paper presents an examination of the lifecycle cost and carbon impacts of Ordinary Portland Cement (OPC) and geopolymers in an Australian context, with an identification of some key challenges for geopolymer development. The results of the examination show that there is wide variation in the calculated financial and environmental \"cost\" of geopolymers, which can be beneficial or detrimental depending on the source location, the energy source and the mode of transport. Some case study geopolymer concrete mixes based on typical Australian feedstocks indicate potential for a 44-64% reduction in greenhouse gas emissions while the financial costs are 7% lower to 39% higher compared with OPC. ?? 2010 Elsevier Ltd. All rights reserved.","author":[{"dropping-particle":"","family":"McLellan","given":"Benjamin C.","non-dropping-particle":"","parse-names":false,"suffix":""},{"dropping-particle":"","family":"Williams","given":"Ross P.","non-dropping-particle":"","parse-names":false,"suffix":""},{"dropping-particle":"","family":"Lay","given":"Janine","non-dropping-particle":"","parse-names":false,"suffix":""},{"dropping-particle":"","family":"Riessen","given":"Arie","non-dropping-particle":"Van","parse-names":false,"suffix":""},{"dropping-particle":"","family":"Corder","given":"Glen D.","non-dropping-particle":"","parse-names":false,"suffix":""}],"container-title":"Journal of Cleaner Production","id":"ITEM-1","issue":"9-10","issued":{"date-parts":[["2011"]]},"page":"1080-1090","publisher":"Elsevier Ltd","title":"Costs and carbon emissions for geopolymer pastes in comparison to ordinary portland cement","type":"article-journal","volume":"19"},"suppress-author":1,"uris":["http://www.mendeley.com/documents/?uuid=18b64226-1029-4cc2-a6cc-f9997680dd45"]}],"mendeley":{"formattedCitation":"(2011)","plainTextFormattedCitation":"(2011)","previouslyFormattedCitation":"(2011)"},"properties":{"noteIndex":0},"schema":"https://github.com/citation-style-language/schema/raw/master/csl-citation.json"}</w:instrText>
      </w:r>
      <w:r>
        <w:fldChar w:fldCharType="separate"/>
      </w:r>
      <w:r w:rsidRPr="00255475">
        <w:rPr>
          <w:noProof/>
        </w:rPr>
        <w:t>(2011)</w:t>
      </w:r>
      <w:r>
        <w:fldChar w:fldCharType="end"/>
      </w:r>
      <w:r>
        <w:t xml:space="preserve"> and Turner and Collins </w:t>
      </w:r>
      <w:r>
        <w:fldChar w:fldCharType="begin" w:fldLock="1"/>
      </w:r>
      <w:r w:rsidR="000E418E">
        <w:instrText>ADDIN CSL_CITATION {"citationItems":[{"id":"ITEM-1","itemData":{"DOI":"10.1016/j.conbuildmat.2013.01.023","ISBN":"09500618","ISSN":"09500618","abstract":"Concrete for construction has traditionally been based on an Ordinary Portland Cement (OPC) binder. Geopolymers, an alternative binder based on fly ash (a fine waste collected from the emissions liberated by coal burning power stations) that is activated by an alkaline activator, have potential to lower the significant carbon footprint of OPC concrete. This paper presents the results of comprehensive carbon footprint estimates for both geopolymer and OPC concrete, including energy expending activities associated with mining and transport of raw materials, manufacturing and concrete construction. Previous studies have shown a wide variation of reported emission estimates: the results of this study are benchmarked with data from those studies. ?? 2013 Elsevier Ltd. All rights reserved.","author":[{"dropping-particle":"","family":"Turner","given":"Louise K.","non-dropping-particle":"","parse-names":false,"suffix":""},{"dropping-particle":"","family":"Collins","given":"Frank G.","non-dropping-particle":"","parse-names":false,"suffix":""}],"container-title":"Construction and Building Materials","id":"ITEM-1","issued":{"date-parts":[["2013"]]},"page":"125-130","publisher":"Elsevier Ltd","title":"Carbon dioxide equivalent (CO2-e) emissions: A comparison between geopolymer and OPC cement concrete","type":"article-journal","volume":"43"},"suppress-author":1,"uris":["http://www.mendeley.com/documents/?uuid=69b69b3d-f8e7-401f-81e6-86738b647870"]}],"mendeley":{"formattedCitation":"(2013)","plainTextFormattedCitation":"(2013)","previouslyFormattedCitation":"(2013)"},"properties":{"noteIndex":0},"schema":"https://github.com/citation-style-language/schema/raw/master/csl-citation.json"}</w:instrText>
      </w:r>
      <w:r>
        <w:fldChar w:fldCharType="separate"/>
      </w:r>
      <w:r w:rsidRPr="00255475">
        <w:rPr>
          <w:noProof/>
        </w:rPr>
        <w:t>(2013)</w:t>
      </w:r>
      <w:r>
        <w:fldChar w:fldCharType="end"/>
      </w:r>
      <w:r>
        <w:t xml:space="preserve"> both identified alkaline activators as the major source of climate change </w:t>
      </w:r>
      <w:r w:rsidR="00894BFE">
        <w:t>impact in the production of fly-</w:t>
      </w:r>
      <w:r>
        <w:t xml:space="preserve">ash based geopolymers, as did </w:t>
      </w:r>
      <w:proofErr w:type="spellStart"/>
      <w:r>
        <w:t>Mellado</w:t>
      </w:r>
      <w:proofErr w:type="spellEnd"/>
      <w:r>
        <w:t xml:space="preserve"> et al. </w:t>
      </w:r>
      <w:r>
        <w:fldChar w:fldCharType="begin" w:fldLock="1"/>
      </w:r>
      <w:r w:rsidR="000E418E">
        <w:instrText>ADDIN CSL_CITATION {"citationItems":[{"id":"ITEM-1","itemData":{"DOI":"10.1039/c4ra03375b","ISBN":"2046-2069","ISSN":"2046-2069","abstract":"CO2 emissions associated with geopolymeric mortar prepared using spent fluid catalytic cracking catalyst (FCC) were compared to those calculated for plain ordinary Portland cement (OPC) mortar. Commercial waterglass used for preparing the alkaline activating solution for geopolymeric mortar was the main contributing component related to CO2 emission. An alternative route for formulating alkaline activating solution in the preparation of the geopolymeric binder was proposed: refluxing of rice husk ash (RHA) in NaOH solution. Geopolymeric mortar using rice hull ash-derived waterglass led to reduced CO2 emission by 63% compared to the OPC mortar. The new alternative route led to a 50% reduction in CO2 emission compared to geopolymer prepared with commercial waterglass. Replacement of commercial waterglass by rice hull ash-derived waterglass in the preparation of the geopolymer did not cause a significant decrease in the mechanical strength of the mortar. CO2 intensity performance indicators (Ci) for geopolymeric mortars were lower than that found for OPC mortar, indicating that the new route for activating solution led to the lowest Ci value. © 2014 the Partner Organisations.","author":[{"dropping-particle":"","family":"Mellado","given":"A.","non-dropping-particle":"","parse-names":false,"suffix":""},{"dropping-particle":"","family":"Catalán","given":"C.","non-dropping-particle":"","parse-names":false,"suffix":""},{"dropping-particle":"","family":"Bouzón","given":"N.","non-dropping-particle":"","parse-names":false,"suffix":""},{"dropping-particle":"V.","family":"Borrachero","given":"M.","non-dropping-particle":"","parse-names":false,"suffix":""},{"dropping-particle":"","family":"Monzó","given":"J. M.","non-dropping-particle":"","parse-names":false,"suffix":""},{"dropping-particle":"","family":"Payá","given":"J.","non-dropping-particle":"","parse-names":false,"suffix":""}],"container-title":"RSC Advances","id":"ITEM-1","issue":"45","issued":{"date-parts":[["2014"]]},"page":"23846","title":"Carbon footprint of geopolymeric mortar: study of the contribution of the alkaline activating solution and assessment of an alternative route","type":"article-journal","volume":"4"},"suppress-author":1,"uris":["http://www.mendeley.com/documents/?uuid=15b020f4-03e9-4bad-8707-ec32c3f57a2e"]}],"mendeley":{"formattedCitation":"(2014)","plainTextFormattedCitation":"(2014)","previouslyFormattedCitation":"(2014)"},"properties":{"noteIndex":0},"schema":"https://github.com/citation-style-language/schema/raw/master/csl-citation.json"}</w:instrText>
      </w:r>
      <w:r>
        <w:fldChar w:fldCharType="separate"/>
      </w:r>
      <w:r w:rsidRPr="00255475">
        <w:rPr>
          <w:noProof/>
        </w:rPr>
        <w:t>(2014)</w:t>
      </w:r>
      <w:r>
        <w:fldChar w:fldCharType="end"/>
      </w:r>
      <w:r>
        <w:t xml:space="preserve"> when using a spent fluid cracking catalyst as the precursor. </w:t>
      </w:r>
      <w:r w:rsidR="00053FC0">
        <w:t>The alkali activating solution</w:t>
      </w:r>
      <w:r>
        <w:t xml:space="preserve"> </w:t>
      </w:r>
      <w:r w:rsidR="00053FC0">
        <w:t>has been found to be a hotspot</w:t>
      </w:r>
      <w:r>
        <w:t xml:space="preserve"> in a number of other impact measures </w:t>
      </w:r>
      <w:r w:rsidRPr="00DA16A7">
        <w:t>(abiotic depletion, ozone layer depletion, human toxicity, freshwater ecotoxicity, marine ecotoxicity, photochemical oxidation, acidification and eutrophication)</w:t>
      </w:r>
      <w:r w:rsidR="00053FC0">
        <w:t xml:space="preserve"> </w:t>
      </w:r>
      <w:r w:rsidR="00053FC0">
        <w:fldChar w:fldCharType="begin" w:fldLock="1"/>
      </w:r>
      <w:r w:rsidR="000E418E">
        <w:instrText>ADDIN CSL_CITATION {"citationItems":[{"id":"ITEM-1","itemData":{"DOI":"10.1016/j.jclepro.2011.03.012","ISSN":"0959-6526","author":[{"dropping-particle":"","family":"Habert","given":"G","non-dropping-particle":"","parse-names":false,"suffix":""},{"dropping-particle":"","family":"Espinose","given":"J B","non-dropping-particle":"","parse-names":false,"suffix":""},{"dropping-particle":"","family":"Lacaillerie","given":"De","non-dropping-particle":"","parse-names":false,"suffix":""},{"dropping-particle":"","family":"Roussel","given":"N","non-dropping-particle":"","parse-names":false,"suffix":""}],"container-title":"Journal of Cleaner Production","id":"ITEM-1","issue":"11","issued":{"date-parts":[["2011"]]},"page":"1229-1238","publisher":"Elsevier Ltd","title":"An environmental evaluation of geopolymer based concrete production : reviewing current research trends","type":"article-journal","volume":"19"},"uris":["http://www.mendeley.com/documents/?uuid=6bb824a5-c960-420f-85d3-dd34d49c52f6"]},{"id":"ITEM-2","itemData":{"DOI":"10.21809/rilemtechlett.2016.6","ISSN":"2518-0231","abstract":"The contribution of building materials' production to environmental impacts becomes significant in the new energy efficient buildings that are currently built. Among those materials, cement represents a major part of the embodied carbon footprint of buildings. Development of alternatives to traditional Portland cement have emerged over the last decades; however, their environmental assessment over their life cycle have resulted in conflicting results, which give a confusing picture of the strategic path to be followed. This paper focuses on the alkali-activated cement and concrete and points out the variability linked with the choice of energy source for the production of the activators and precursors. A review of existing studies is then performed in order to highlight the main benefits of these alternative cements in terms of reduction of greenhouse gas emissions. Finally, the results presented here highlight further research trends for new cements and concrete.","author":[{"dropping-particle":"","family":"Habert","given":"Guillaume","non-dropping-particle":"","parse-names":false,"suffix":""},{"dropping-particle":"","family":"Ouellet-Plamondon","given":"Claudiane","non-dropping-particle":"","parse-names":false,"suffix":""}],"container-title":"RILEM Technical Letters","id":"ITEM-2","issued":{"date-parts":[["2016"]]},"page":"17-23","title":"Recent update on the environmental impact of geopolymers","type":"article-journal","volume":"1"},"uris":["http://www.mendeley.com/documents/?uuid=491ad64b-a126-420e-a1e2-b491faff27cb"]}],"mendeley":{"formattedCitation":"(Habert et al., 2011; Habert and Ouellet-Plamondon, 2016)","plainTextFormattedCitation":"(Habert et al., 2011; Habert and Ouellet-Plamondon, 2016)","previouslyFormattedCitation":"(Habert et al., 2011; Habert and Ouellet-Plamondon, 2016)"},"properties":{"noteIndex":0},"schema":"https://github.com/citation-style-language/schema/raw/master/csl-citation.json"}</w:instrText>
      </w:r>
      <w:r w:rsidR="00053FC0">
        <w:fldChar w:fldCharType="separate"/>
      </w:r>
      <w:r w:rsidR="00053FC0" w:rsidRPr="00053FC0">
        <w:rPr>
          <w:noProof/>
        </w:rPr>
        <w:t>(Habert et al., 2011; Habert and Ouellet-Plamondon, 2016)</w:t>
      </w:r>
      <w:r w:rsidR="00053FC0">
        <w:fldChar w:fldCharType="end"/>
      </w:r>
      <w:r w:rsidR="00053FC0">
        <w:t>. This was</w:t>
      </w:r>
      <w:r>
        <w:t xml:space="preserve"> to such an extent that while the climate chang</w:t>
      </w:r>
      <w:r w:rsidR="00053FC0">
        <w:t>e impact of this</w:t>
      </w:r>
      <w:r>
        <w:t xml:space="preserve"> pol</w:t>
      </w:r>
      <w:r w:rsidR="00894BFE">
        <w:t>ymer was lower than comparable o</w:t>
      </w:r>
      <w:r>
        <w:t xml:space="preserve">rdinary Portland </w:t>
      </w:r>
      <w:r w:rsidR="00894BFE">
        <w:t>c</w:t>
      </w:r>
      <w:r>
        <w:t xml:space="preserve">ement, </w:t>
      </w:r>
      <w:r w:rsidR="00761202">
        <w:t xml:space="preserve">all other impacts were higher; </w:t>
      </w:r>
      <w:r>
        <w:t>an example of pre</w:t>
      </w:r>
      <w:r w:rsidR="00053FC0">
        <w:t xml:space="preserve">viously unseen burden shifting </w:t>
      </w:r>
      <w:r>
        <w:t>as</w:t>
      </w:r>
      <w:r w:rsidR="00053FC0">
        <w:t xml:space="preserve"> </w:t>
      </w:r>
      <w:r>
        <w:t>a result of including more impact measures.</w:t>
      </w:r>
    </w:p>
    <w:p w14:paraId="21188B07" w14:textId="6A0CFC1D" w:rsidR="00F00DD8" w:rsidRDefault="00F00DD8" w:rsidP="00894BFE">
      <w:r>
        <w:t xml:space="preserve">More recent studies </w:t>
      </w:r>
      <w:r>
        <w:fldChar w:fldCharType="begin" w:fldLock="1"/>
      </w:r>
      <w:r w:rsidR="000E418E">
        <w:instrText>ADDIN CSL_CITATION {"citationItems":[{"id":"ITEM-1","itemData":{"DOI":"10.1007/s12649-017-9877-1","ISBN":"1264901798","ISSN":"1877265X","abstract":"© 2017 Springer Science+Business Media DordrechtThe environmental impact of inorganic polymer mortars from non-ferrous slag was assessed and compared to ordinary Portland cement (OPC) mortar based on a load bearing capacity of 10 MN of bricks of 0.1 m high. Two strategies to minimize the environmental impact of inorganic polymers were pursued. Activating solutions with a lower alkali content (H2O/Na2O = 16, 24, 32, 40, 48; constant SiO2/Na2O = 1.6) were investigated while keeping the water/slag mass ratio of the inorganic polymer mortar mix constant. Another synthesis route considered the complete replacement of the activating solution by maize ashes. These were blended with the slag in different ash/slag mass ratios (0.2, 0.4, 0.6) before adding water, producing a so-called “one-part” inorganic polymer. A sensitivity analysis showed that the effect of compressive strength and transport distance is extensive. Because of this considerable transport distance dependence, several cities in Flanders were selected to perform a detailed LCA study. The optimal scores of the environmental impact were observed for Mol, the location of the sand supplier, and accounted for 23% with respect to OPC for the samples with the activating solution with a ratio of H2O/Na2O = 24 and 17% for an ash/slag ratio of 0.2.","author":[{"dropping-particle":"","family":"Peys","given":"A.","non-dropping-particle":"","parse-names":false,"suffix":""},{"dropping-particle":"","family":"Arnout","given":"L.","non-dropping-particle":"","parse-names":false,"suffix":""},{"dropping-particle":"","family":"Blanpain","given":"B.","non-dropping-particle":"","parse-names":false,"suffix":""},{"dropping-particle":"","family":"Rahier","given":"H.","non-dropping-particle":"","parse-names":false,"suffix":""},{"dropping-particle":"","family":"Acker","given":"K.","non-dropping-particle":"van","parse-names":false,"suffix":""},{"dropping-particle":"","family":"Pontikes","given":"Y.","non-dropping-particle":"","parse-names":false,"suffix":""}],"container-title":"Waste and Biomass Valorization","id":"ITEM-1","issue":"0","issued":{"date-parts":[["2017"]]},"page":"0","publisher":"Springer Netherlands","title":"Mix-design Parameters and Real-life Considerations in the Pursuit of Lower Environmental Impact Inorganic Polymers","type":"article-journal","volume":"0"},"uris":["http://www.mendeley.com/documents/?uuid=90ba6aed-d236-4f28-95b7-50ccfe8a4fb4"]},{"id":"ITEM-2","itemData":{"DOI":"10.1016/j.cemconres.2017.02.009","ISBN":"978-94-007-7671-5","ISSN":"00088846","abstract":"This paper, which forms part of the UNEP White Papers series on Eco-Efficient Cements, provides a brief discussion of the class of cementing materials known as 'alkali-activated binders', which are identified to have potential for utilization as a key component of a sustainable future global construction materials industry. These cements are not expected to offer a like-for-like replacement of Portland cement across its full range of applications, for reasons related to supply chain limitations, practical challenges in some modes of application, and the need for careful control of formulation and curing. However, when produced using locally-available raw materials, with well-formulated mix designs (including in particular consideration of the environmental footprint of the alkaline activator) and production under adequate levels of quality control, alkali-activated binders are potentially an important and cost-effective component of the future toolkit of sustainable construction materials.","author":[{"dropping-particle":"","family":"Provis","given":"John L.","non-dropping-particle":"","parse-names":false,"suffix":""}],"container-title":"Cement and Concrete Research","id":"ITEM-2","issued":{"date-parts":[["2016"]]},"publisher":"Elsevier Ltd","title":"Alkali-activated materials","type":"article-journal"},"uris":["http://www.mendeley.com/documents/?uuid=6b1d5e4e-d79d-4c54-9a39-b42380402286"]}],"mendeley":{"formattedCitation":"(Peys et al., 2017; Provis, 2016)","plainTextFormattedCitation":"(Peys et al., 2017; Provis, 2016)","previouslyFormattedCitation":"(Peys et al., 2017; Provis, 2016)"},"properties":{"noteIndex":0},"schema":"https://github.com/citation-style-language/schema/raw/master/csl-citation.json"}</w:instrText>
      </w:r>
      <w:r>
        <w:fldChar w:fldCharType="separate"/>
      </w:r>
      <w:r w:rsidR="00381D49" w:rsidRPr="00381D49">
        <w:rPr>
          <w:noProof/>
        </w:rPr>
        <w:t>(Peys et al., 2017; Provis, 2016)</w:t>
      </w:r>
      <w:r>
        <w:fldChar w:fldCharType="end"/>
      </w:r>
      <w:r>
        <w:t xml:space="preserve"> have again reiterated the importance of alkali activators, but also noted that the environmental benefits associated with the use of low resource intensity secondary materials can be quickly negated by the increased impacts associated with their transport where they are not processed locally to their site of production.</w:t>
      </w:r>
    </w:p>
    <w:p w14:paraId="459A3E7F" w14:textId="106B86F4" w:rsidR="0033475F" w:rsidRDefault="00F00DD8" w:rsidP="00894BFE">
      <w:r>
        <w:t xml:space="preserve">An additional concern associated with secondary materials which are especially amenable to alkali activation, in particular fly ash, is that their properties may be desirable in other applications (e.g. as a supplementary cementitious material in cement production </w:t>
      </w:r>
      <w:r>
        <w:fldChar w:fldCharType="begin" w:fldLock="1"/>
      </w:r>
      <w:r w:rsidR="000E418E">
        <w:instrText>ADDIN CSL_CITATION {"citationItems":[{"id":"ITEM-1","itemData":{"abstract":"The optimum amount of fly ash varies not only with the application, but also with composition and proportions of all the materials in the concrete mixture (especially the fly ash), the conditions during placing (especially temperature), construction practices (for example, finishing and curing) and the exposure conditions. This document discusses issues related to using low to very high levels of fly ash in concrete and provides guidance for the use of fly ash without compromising the construction process or the quality of the finished product. The nature of fly ashes including their physical, mineralogical and chemical properties is covered in detail, as well as fly ash variability due to coal composition and plant operating conditions. A discussion on the effects of fly ash characteristics on fresh and hardened concrete properties includes; workability, bleeding, air entrainment, setting time, heat of hydration, compressive strength development, creep, drying shrinkage, abrasion resistance, permeability, resistance to chlorides, alkali-silica reaction (ASR), sulfate resistance, carbonation, and resistance to freezing and thawing and deicer salt scaling. Case studies presented in the document were selected as examples of some of the more demanding applications of fly ash concrete for ASR mitigation, chloride resistance, and green building.","author":[{"dropping-particle":"","family":"Thomas","given":"M.D.A.","non-dropping-particle":"","parse-names":false,"suffix":""}],"container-title":"Portland Cement Association","id":"ITEM-1","issued":{"date-parts":[["2007"]]},"page":"24","title":"Optimizing the Use of Fly Ash in Concrete","type":"article-journal"},"uris":["http://www.mendeley.com/documents/?uuid=775aee1c-92a3-4ef0-8311-48fa14babc61"]}],"mendeley":{"formattedCitation":"(Thomas, 2007)","plainTextFormattedCitation":"(Thomas, 2007)","previouslyFormattedCitation":"(Thomas, 2007)"},"properties":{"noteIndex":0},"schema":"https://github.com/citation-style-language/schema/raw/master/csl-citation.json"}</w:instrText>
      </w:r>
      <w:r>
        <w:fldChar w:fldCharType="separate"/>
      </w:r>
      <w:r w:rsidRPr="00D26AAE">
        <w:rPr>
          <w:noProof/>
        </w:rPr>
        <w:t>(Thomas, 2007)</w:t>
      </w:r>
      <w:r>
        <w:fldChar w:fldCharType="end"/>
      </w:r>
      <w:r>
        <w:t>). Weil et al.</w:t>
      </w:r>
      <w:r>
        <w:fldChar w:fldCharType="begin" w:fldLock="1"/>
      </w:r>
      <w:r w:rsidR="000E418E">
        <w:instrText>ADDIN CSL_CITATION {"citationItems":[{"id":"ITEM-1","itemData":{"DOI":"10.1533/9781845696382.2.194","author":[{"dropping-particle":"","family":"Weil","given":"M","non-dropping-particle":"","parse-names":false,"suffix":""},{"dropping-particle":"","family":"Dombrowski","given":"K","non-dropping-particle":"","parse-names":false,"suffix":""},{"dropping-particle":"","family":"Buchwald","given":"A","non-dropping-particle":"","parse-names":false,"suffix":""}],"chapter-number":"10","container-title":"Geopolymers: Structure, processing, properties and industrial applications","editor":[{"dropping-particle":"","family":"Provis","given":"J L","non-dropping-particle":"","parse-names":false,"suffix":""},{"dropping-particle":"","family":"Deventer","given":"J S J","non-dropping-particle":"Van","parse-names":false,"suffix":""}],"id":"ITEM-1","issued":{"date-parts":[["2009"]]},"page":"194-210","publisher":"Woodhead Publishing Limited","publisher-place":"Oxford","title":"Life-cycle analysis of geopolymers","type":"chapter"},"suppress-author":1,"uris":["http://www.mendeley.com/documents/?uuid=a160c83d-9779-4913-883f-d55474c4255c"]}],"mendeley":{"formattedCitation":"(2009)","plainTextFormattedCitation":"(2009)","previouslyFormattedCitation":"(2009)"},"properties":{"noteIndex":0},"schema":"https://github.com/citation-style-language/schema/raw/master/csl-citation.json"}</w:instrText>
      </w:r>
      <w:r>
        <w:fldChar w:fldCharType="separate"/>
      </w:r>
      <w:r w:rsidRPr="00255475">
        <w:rPr>
          <w:noProof/>
        </w:rPr>
        <w:t>(2009)</w:t>
      </w:r>
      <w:r>
        <w:fldChar w:fldCharType="end"/>
      </w:r>
      <w:r>
        <w:t xml:space="preserve"> recognised this problem, stating rather presciently that </w:t>
      </w:r>
      <w:r w:rsidRPr="00255475">
        <w:rPr>
          <w:i/>
        </w:rPr>
        <w:t>“Competition with a traditional utilisation of the same secondary resource does not facilitate market introduction of a new technology. Thus, the development of geopolymer mixtures for different applications should preferentially favour secondary resources which are not already used as raw materials to a large extent in other industrial sectors”</w:t>
      </w:r>
      <w:r>
        <w:rPr>
          <w:i/>
        </w:rPr>
        <w:t xml:space="preserve">. </w:t>
      </w:r>
      <w:r>
        <w:t>This conclusion underlines one of the major motivations behind this study, namely taking an underutilised and abundant secondary resource, in the shape of bauxite residue, as the raw material for the production of new inorganic polymer mixes.</w:t>
      </w:r>
    </w:p>
    <w:p w14:paraId="7644D390" w14:textId="77777777" w:rsidR="00F00DD8" w:rsidRDefault="00F00DD8" w:rsidP="00255475">
      <w:pPr>
        <w:pStyle w:val="Heading2"/>
      </w:pPr>
      <w:r>
        <w:t>Bauxite residue</w:t>
      </w:r>
    </w:p>
    <w:p w14:paraId="49752D47" w14:textId="6F1D6397" w:rsidR="00F00DD8" w:rsidRDefault="00F00DD8" w:rsidP="00894BFE">
      <w:r>
        <w:t>Bauxite residue (BR) is a by-product of alumina production.</w:t>
      </w:r>
      <w:r w:rsidRPr="00603285">
        <w:t xml:space="preserve"> </w:t>
      </w:r>
      <w:r>
        <w:t xml:space="preserve">Of the estimated 150 million tonnes produced annually, less than 4 million tonnes (&lt; 2.6%) </w:t>
      </w:r>
      <w:r w:rsidR="00894BFE">
        <w:t>are</w:t>
      </w:r>
      <w:r>
        <w:t xml:space="preserve"> used productively </w:t>
      </w:r>
      <w:r>
        <w:fldChar w:fldCharType="begin" w:fldLock="1"/>
      </w:r>
      <w:r w:rsidR="000E418E">
        <w:instrText>ADDIN CSL_CITATION {"citationItems":[{"id":"ITEM-1","itemData":{"DOI":"10.1007/s40831-016-0060-x","ISSN":"2199-3823","author":[{"dropping-particle":"","family":"Evans","given":"Ken","non-dropping-particle":"","parse-names":false,"suffix":""}],"container-title":"Journal of Sustainable Metallurgy","id":"ITEM-1","issue":"4","issued":{"date-parts":[["2016","12","19"]]},"page":"316-331","publisher":"Springer International Publishing","title":"The History, Challenges, and New Developments in the Management and Use of Bauxite Residue","type":"article-journal","volume":"2"},"uris":["http://www.mendeley.com/documents/?uuid=015fb83f-d2a9-4553-b1bb-00f12c47936f"]}],"mendeley":{"formattedCitation":"(Evans, 2016)","plainTextFormattedCitation":"(Evans, 2016)","previouslyFormattedCitation":"(Evans, 2016)"},"properties":{"noteIndex":0},"schema":"https://github.com/citation-style-language/schema/raw/master/csl-citation.json"}</w:instrText>
      </w:r>
      <w:r>
        <w:fldChar w:fldCharType="separate"/>
      </w:r>
      <w:r w:rsidRPr="003B7598">
        <w:rPr>
          <w:noProof/>
        </w:rPr>
        <w:t>(Evans, 2016)</w:t>
      </w:r>
      <w:r>
        <w:fldChar w:fldCharType="end"/>
      </w:r>
      <w:r>
        <w:t xml:space="preserve">. This is on top of an estimated stockpile of BR exceeding </w:t>
      </w:r>
      <w:r w:rsidR="00894BFE">
        <w:t>three thousand million</w:t>
      </w:r>
      <w:r>
        <w:t xml:space="preserve"> tonnes (ibid.). Such a high volume of produced material requires a high</w:t>
      </w:r>
      <w:r w:rsidR="00A56AFC">
        <w:t>-</w:t>
      </w:r>
      <w:r>
        <w:t xml:space="preserve">volume valorisation solution, thus while BR has the potential to be utilised for higher value material </w:t>
      </w:r>
      <w:r w:rsidRPr="00255475">
        <w:t>recovery</w:t>
      </w:r>
      <w:r w:rsidR="00894BFE">
        <w:t xml:space="preserve"> (e.g. </w:t>
      </w:r>
      <w:r w:rsidR="00EF378F">
        <w:t>r</w:t>
      </w:r>
      <w:r w:rsidR="00894BFE">
        <w:t xml:space="preserve">are earth elements </w:t>
      </w:r>
      <w:r w:rsidR="00894BFE">
        <w:fldChar w:fldCharType="begin" w:fldLock="1"/>
      </w:r>
      <w:r w:rsidR="000E418E">
        <w:instrText>ADDIN CSL_CITATION {"citationItems":[{"id":"ITEM-1","itemData":{"DOI":"10.1007/s40831-016-0068-2","ISBN":"4083101601","ISSN":"2199-3823","abstract":"The long-term storage of bauxite residue (red mud) is harmful to the environment and the tailing ponds also cover large areas. At the moment there is no large-scale utilization of bauxite residue. However, some bauxite residues contain considerable concentrations of rare-earth elements (REEs) and the recovery of these REEs together with(out) other metals and utilization of the generated residue in other applications (e.g., building materials) can solve the storage problem of bauxite residue. This paper reviews the recovery of REEs, possibly alongside other valuable metals, from bauxite residue. REEs can be recovered from bauxite residue by direct leaching or by smelting followed by leaching. The main disadvantages of direct acid leaching are the consumption of large amounts of acid for neutralization, the handling of large volumes of effluents, and the difficulty in using the bauxite residue after leaching. Recovery of iron prior to leaching can improve the economics of the process. However, high alumina in the bauxite residue increases the flux and acid consumption. Therefore, alumina needs to be removed by alkali roasting prior to smelting in order to decrease the flux and acid consumption. The alkali roasting--smelting--leaching process allows recovery of aluminum, iron, titanium, and REEs from bauxite residue. The residue generated in this process can be used in building materials and cementitious binders. Other processes with commercial potential are the Orbite, the pressure leaching, and the acid baking processes.","author":[{"dropping-particle":"","family":"Borra","given":"Chenna Rao","non-dropping-particle":"","parse-names":false,"suffix":""},{"dropping-particle":"","family":"Blanpain","given":"Bart","non-dropping-particle":"","parse-names":false,"suffix":""},{"dropping-particle":"","family":"Pontikes","given":"Yiannis","non-dropping-particle":"","parse-names":false,"suffix":""},{"dropping-particle":"","family":"Binnemans","given":"Koen","non-dropping-particle":"","parse-names":false,"suffix":""},{"dropping-particle":"","family":"Gerven","given":"Tom","non-dropping-particle":"Van","parse-names":false,"suffix":""}],"container-title":"Journal of Sustainable Metallurgy","id":"ITEM-1","issue":"4","issued":{"date-parts":[["2016"]]},"page":"365-386","publisher":"Springer International Publishing","title":"Recovery of Rare Earths and Other Valuable Metals From Bauxite Residue (Red Mud): A Review","type":"article-journal","volume":"2"},"uris":["http://www.mendeley.com/documents/?uuid=73f97e1d-ced9-42b8-aa73-195958b649f6"]}],"mendeley":{"formattedCitation":"(Borra et al., 2016)","plainTextFormattedCitation":"(Borra et al., 2016)","previouslyFormattedCitation":"(Borra et al., 2016)"},"properties":{"noteIndex":0},"schema":"https://github.com/citation-style-language/schema/raw/master/csl-citation.json"}</w:instrText>
      </w:r>
      <w:r w:rsidR="00894BFE">
        <w:fldChar w:fldCharType="separate"/>
      </w:r>
      <w:r w:rsidR="00894BFE" w:rsidRPr="00894BFE">
        <w:rPr>
          <w:noProof/>
        </w:rPr>
        <w:t>(Borra et al., 2016)</w:t>
      </w:r>
      <w:r w:rsidR="00894BFE">
        <w:fldChar w:fldCharType="end"/>
      </w:r>
      <w:r w:rsidR="00894BFE">
        <w:t xml:space="preserve">, scandium </w:t>
      </w:r>
      <w:r w:rsidR="00894BFE">
        <w:fldChar w:fldCharType="begin" w:fldLock="1"/>
      </w:r>
      <w:r w:rsidR="000E418E">
        <w:instrText>ADDIN CSL_CITATION {"citationItems":[{"id":"ITEM-1","itemData":{"DOI":"10.1007/s40831-016-0098-9","ISSN":"2199-3831","abstract":"This research presents an alternative method for scandium (Sc) recovery from impure bauxite residue solutions containing Fe(III), Al, Ca, Nd, and Y through the use of hydroxide and phosphate precipitation. Among hydroxide donors, ammonia solution removed the most Fe(III) from solution, while co-precipitation of other elements in the synthetic pregnant leach solution remained negligible. When using dibasic phosphate as the precipitant, in the pH range of 1.5--2.5, both Sc and Fe were removed rapidly, while co-precipitation of other ions remained low. Experimental results were used to propose the preliminary design of a three-stage precipitation process capable of producing a scandium product from highly impure process solutions.","author":[{"dropping-particle":"","family":"Yagmurlu","given":"Bengi","non-dropping-particle":"","parse-names":false,"suffix":""},{"dropping-particle":"","family":"Dittrich","given":"Carsten","non-dropping-particle":"","parse-names":false,"suffix":""},{"dropping-particle":"","family":"Friedrich","given":"Bernd","non-dropping-particle":"","parse-names":false,"suffix":""}],"container-title":"Journal of Sustainable Metallurgy","id":"ITEM-1","issue":"1","issued":{"date-parts":[["2017","3"]]},"page":"90-98","title":"Precipitation Trends of Scandium in Synthetic Red Mud Solutions with Different Precipitation Agents","type":"article-journal","volume":"3"},"uris":["http://www.mendeley.com/documents/?uuid=059e5f7d-3e16-4067-8f7d-ea468a782d64"]}],"mendeley":{"formattedCitation":"(Yagmurlu et al., 2017)","plainTextFormattedCitation":"(Yagmurlu et al., 2017)","previouslyFormattedCitation":"(Yagmurlu et al., 2017)"},"properties":{"noteIndex":0},"schema":"https://github.com/citation-style-language/schema/raw/master/csl-citation.json"}</w:instrText>
      </w:r>
      <w:r w:rsidR="00894BFE">
        <w:fldChar w:fldCharType="separate"/>
      </w:r>
      <w:r w:rsidR="00894BFE" w:rsidRPr="00894BFE">
        <w:rPr>
          <w:noProof/>
        </w:rPr>
        <w:t>(Yagmurlu et al., 2017)</w:t>
      </w:r>
      <w:r w:rsidR="00894BFE">
        <w:fldChar w:fldCharType="end"/>
      </w:r>
      <w:r w:rsidR="00894BFE">
        <w:t>),</w:t>
      </w:r>
      <w:r w:rsidRPr="00255475">
        <w:t xml:space="preserve"> a high</w:t>
      </w:r>
      <w:r w:rsidR="00A56AFC">
        <w:noBreakHyphen/>
      </w:r>
      <w:r w:rsidRPr="00255475">
        <w:t xml:space="preserve">volume application of this material is a desirable prospect for the alumina industry </w:t>
      </w:r>
      <w:r w:rsidRPr="00807758">
        <w:fldChar w:fldCharType="begin" w:fldLock="1"/>
      </w:r>
      <w:r w:rsidR="000E418E">
        <w:rPr>
          <w:lang w:val="en-US"/>
        </w:rPr>
        <w:instrText>ADDIN CSL_CITATION {"citationItems":[{"id":"ITEM-1","itemData":{"DOI":"10.1016/j.hydromet.2011.02.007","ISBN":"0304-386X","ISSN":"0304386X","abstract":"Worldwide bauxite residue disposal areas contain an estimated 2.7 billion tonnes of residue, increasing by approximately 120 million tonnes per annum. The question of what to do with bauxite residue arose with the development of the Bayer process for alumina refining and the recognition that it generated a large amount of waste material. In the subsequent 120 years, residues have been primarily disposed into long-term storage, with a wide range of industry practice depending on local circumstances. Ideally this residue would be utilized as an industrial by-product for other applications, leading to a zero waste situation. Despite over 50 years of research and hundreds of publications and patents on the subject, little evidence exists of any significant utilization of bauxite residue. In this review of public domain information the reasons are examined, future opportunities are identified, and a way forward is proposed. All avenues of residue \"re-use\" (or more appropriately \"use\") are considered, but emphasis is on the few highest volume uses of lowest risk. Utilization is defined as taking the residue in some non-hazardous form (as a by-product) from the alumina refinery site and then using it as feedstock for another distinct application. Although residues from different bauxites have generic similarities, their specific make-up and residue location can influence their suitability for a given type of use. There are four primary reasons for inaction on residue use: volume, performance, cost and risk, with the last two probably being paramount. In terms of cost there are better options for raw material input from virgin sources (lower cost for better grades) that do not come with the same perceived risks as bauxite residue. The risks are composition based (technical and community perception) and relate to: soda, alkalinity, heavy metals and low levels of naturally occurring radioactive material (NORM). Amongst the outcomes of this review are priority research recommendations to address the knowledge gaps identified that, amongst other factors, are impeding the implementation of residue use. This is the second in a series of four related reviews examining bauxite residue issues in detail. © 2011 Elsevier B.V. All rights reserved.","author":[{"dropping-particle":"","family":"Klauber","given":"C.","non-dropping-particle":"","parse-names":false,"suffix":""},{"dropping-particle":"","family":"Gräfe","given":"M.","non-dropping-particle":"","parse-names":false,"suffix":""},{"dropping-particle":"","family":"Power","given":"G.","non-dropping-particle":"","parse-names":false,"suffix":""}],"container-title":"Hydrometallurgy","id":"ITEM-1","issue":"1-2","issued":{"date-parts":[["2011"]]},"page":"11-32","publisher":"Elsevier B.V.","title":"Bauxite residue issues: II. options for residue utilization","type":"article-journal","volume":"108"},"uris":["http://www.mendeley.com/documents/?uuid=ecd3556b-430f-4364-973f-f8c2b84700f4"]},{"id":"ITEM-2","itemData":{"DOI":"10.1016/j.resconrec.2013.01.005","ISBN":"0921-3449","ISSN":"09213449","abstract":"Utilisation of Bayer's process bauxite residue, BR, aka red mud, takes place in a very small fraction worldwide, most probably &lt;5 wt.%. A success story in terms of industrial implementation is utilisation of BR as a raw material in cement production. The use of BR as a pozzolanic material has also been reported, with promising results in laboratory scale. This work aims to present an in depth review of these cases by providing a critical overview of the on-going research over the last forty years. To facilitate the transition from laboratory to industrial scale, a barriers and drivers analysis is also presented for the case of BR addition in the raw meal of cement clinker, following both BR and cement producers' perspective. It is demonstrated that tangible results can be achieved with present-day technology and that one of the major barrier is economic. A number of clear actions are suggested to accelerate the transition towards a more sustainable management of BR. ?? 2013 Elsevier B.V.","author":[{"dropping-particle":"","family":"Pontikes","given":"Y.","non-dropping-particle":"","parse-names":false,"suffix":""},{"dropping-particle":"","family":"Angelopoulos","given":"G. N.","non-dropping-particle":"","parse-names":false,"suffix":""}],"container-title":"Resources, Conservation and Recycling","id":"ITEM-2","issued":{"date-parts":[["2013"]]},"page":"53-63","publisher":"Elsevier B.V.","title":"Bauxite residue in cement and cementitious applications: Current status and a possible way forward","type":"article-journal","volume":"73"},"uris":["http://www.mendeley.com/documents/?uuid=35a1abe6-c80b-43a1-9301-699fd37d0f98"]}],"mendeley":{"formattedCitation":"(Klauber et al., 2011; Pontikes and Angelopoulos, 2013)","plainTextFormattedCitation":"(Klauber et al., 2011; Pontikes and Angelopoulos, 2013)","previouslyFormattedCitation":"(Klauber et al., 2011; Pontikes and Angelopoulos, 2013)"},"properties":{"noteIndex":0},"schema":"https://github.com/citation-style-language/schema/raw/master/csl-citation.json"}</w:instrText>
      </w:r>
      <w:r w:rsidRPr="00807758">
        <w:fldChar w:fldCharType="separate"/>
      </w:r>
      <w:r w:rsidRPr="00DF2D89">
        <w:rPr>
          <w:noProof/>
          <w:lang w:val="en-US"/>
        </w:rPr>
        <w:t>(Klauber et al., 2011; Pontikes and Angelopoulos, 2013)</w:t>
      </w:r>
      <w:r w:rsidRPr="00807758">
        <w:fldChar w:fldCharType="end"/>
      </w:r>
      <w:r w:rsidRPr="001E6318">
        <w:t>.</w:t>
      </w:r>
    </w:p>
    <w:p w14:paraId="2F56E146" w14:textId="0F1065A4" w:rsidR="00F00DD8" w:rsidRPr="00F9715F" w:rsidRDefault="00F00DD8" w:rsidP="00894BFE">
      <w:r>
        <w:t xml:space="preserve">Additionally, unlike fly-ash – the supply of which will potentially be affected by the increasing trend towards lower coal use in energy production – ongoing supply is unlikely to be a problem in at least the medium-term. Demand for aluminium continues to grow at a rate of 5-7% annually, with construction and transportation </w:t>
      </w:r>
      <w:r>
        <w:lastRenderedPageBreak/>
        <w:t xml:space="preserve">constituting the majority of demand </w:t>
      </w:r>
      <w:r>
        <w:fldChar w:fldCharType="begin" w:fldLock="1"/>
      </w:r>
      <w:r w:rsidR="000E418E">
        <w:instrText>ADDIN CSL_CITATION {"citationItems":[{"id":"ITEM-1","itemData":{"URL":"http://www.aluminiumleader.com/economics/how_aluminium_market_works/","accessed":{"date-parts":[["2017","5","29"]]},"author":[{"dropping-particle":"","family":"Aluminium Leader","given":"","non-dropping-particle":"","parse-names":false,"suffix":""}],"id":"ITEM-1","issued":{"date-parts":[["2015"]]},"title":"How the aluminium market works","type":"webpage"},"uris":["http://www.mendeley.com/documents/?uuid=6d2adff9-38a0-3bdf-bf46-a72c33af5643"]}],"mendeley":{"formattedCitation":"(Aluminium Leader, 2015)","plainTextFormattedCitation":"(Aluminium Leader, 2015)","previouslyFormattedCitation":"(Aluminium Leader, 2015)"},"properties":{"noteIndex":0},"schema":"https://github.com/citation-style-language/schema/raw/master/csl-citation.json"}</w:instrText>
      </w:r>
      <w:r>
        <w:fldChar w:fldCharType="separate"/>
      </w:r>
      <w:r w:rsidRPr="003B7598">
        <w:rPr>
          <w:noProof/>
        </w:rPr>
        <w:t>(Aluminium Leader, 2015)</w:t>
      </w:r>
      <w:r>
        <w:fldChar w:fldCharType="end"/>
      </w:r>
      <w:r>
        <w:t xml:space="preserve">. The combination of increasing demand and use in long lived applications means that, regardless of the recycling rate of aluminium, primary production will continue to be a significant feature of aluminium supply for the foreseeable future </w:t>
      </w:r>
      <w:r>
        <w:fldChar w:fldCharType="begin" w:fldLock="1"/>
      </w:r>
      <w:r w:rsidR="000E418E">
        <w:instrText>ADDIN CSL_CITATION {"citationItems":[{"id":"ITEM-1","itemData":{"author":[{"dropping-particle":"","family":"Voet","given":"Ester","non-dropping-particle":"van der","parse-names":false,"suffix":""},{"dropping-particle":"","family":"Oers","given":"Lauran","non-dropping-particle":"van","parse-names":false,"suffix":""},{"dropping-particle":"","family":"Huele","given":"Ruben","non-dropping-particle":"","parse-names":false,"suffix":""}],"id":"ITEM-1","issued":{"date-parts":[["2014"]]},"title":"Topical paper 10. Assessment of historical resource efficiency improvements in the aluminium industry","type":"article-journal"},"uris":["http://www.mendeley.com/documents/?uuid=5fc7e374-dfce-4d96-a006-b4fed10564af"]}],"mendeley":{"formattedCitation":"(van der Voet et al., 2014)","plainTextFormattedCitation":"(van der Voet et al., 2014)","previouslyFormattedCitation":"(van der Voet et al., 2014)"},"properties":{"noteIndex":0},"schema":"https://github.com/citation-style-language/schema/raw/master/csl-citation.json"}</w:instrText>
      </w:r>
      <w:r>
        <w:fldChar w:fldCharType="separate"/>
      </w:r>
      <w:r w:rsidRPr="003B7598">
        <w:rPr>
          <w:noProof/>
        </w:rPr>
        <w:t>(van der Voet et al., 2014)</w:t>
      </w:r>
      <w:r>
        <w:fldChar w:fldCharType="end"/>
      </w:r>
      <w:r>
        <w:t xml:space="preserve">. On average </w:t>
      </w:r>
      <w:r w:rsidRPr="00F9715F">
        <w:t xml:space="preserve">globally, approximately 1.35 tonnes of BR is produced per tonne of alumina </w:t>
      </w:r>
      <w:r>
        <w:fldChar w:fldCharType="begin" w:fldLock="1"/>
      </w:r>
      <w:r w:rsidR="000E418E">
        <w:instrText>ADDIN CSL_CITATION {"citationItems":[{"id":"ITEM-1","itemData":{"DOI":"10.1007/s40831-016-0060-x","ISSN":"2199-3823","author":[{"dropping-particle":"","family":"Evans","given":"Ken","non-dropping-particle":"","parse-names":false,"suffix":""}],"container-title":"Journal of Sustainable Metallurgy","id":"ITEM-1","issue":"4","issued":{"date-parts":[["2016","12","19"]]},"page":"316-331","publisher":"Springer International Publishing","title":"The History, Challenges, and New Developments in the Management and Use of Bauxite Residue","type":"article-journal","volume":"2"},"uris":["http://www.mendeley.com/documents/?uuid=015fb83f-d2a9-4553-b1bb-00f12c47936f"]}],"mendeley":{"formattedCitation":"(Evans, 2016)","plainTextFormattedCitation":"(Evans, 2016)","previouslyFormattedCitation":"(Evans, 2016)"},"properties":{"noteIndex":0},"schema":"https://github.com/citation-style-language/schema/raw/master/csl-citation.json"}</w:instrText>
      </w:r>
      <w:r>
        <w:fldChar w:fldCharType="separate"/>
      </w:r>
      <w:r w:rsidRPr="00F9715F">
        <w:rPr>
          <w:noProof/>
        </w:rPr>
        <w:t>(Evans, 2016)</w:t>
      </w:r>
      <w:r>
        <w:fldChar w:fldCharType="end"/>
      </w:r>
      <w:r w:rsidRPr="00F9715F">
        <w:t xml:space="preserve"> in the Bayer process. This translates to nearly 3 tonnes of BR per tonne of primary aluminium. </w:t>
      </w:r>
    </w:p>
    <w:p w14:paraId="330D0429" w14:textId="3FDD27EE" w:rsidR="00F00DD8" w:rsidRDefault="00F00DD8" w:rsidP="00894BFE">
      <w:r w:rsidRPr="00255475">
        <w:t xml:space="preserve">Several research works have focused on the use of BR in geopolymers. </w:t>
      </w:r>
      <w:r>
        <w:t xml:space="preserve">The poor reactivity of BR in </w:t>
      </w:r>
      <w:r w:rsidR="00894BFE">
        <w:t xml:space="preserve">an </w:t>
      </w:r>
      <w:r>
        <w:t xml:space="preserve">alkaline environment and the corresponding low release of reactive Si and Al are considered </w:t>
      </w:r>
      <w:r w:rsidR="00EF378F">
        <w:t>to be a</w:t>
      </w:r>
      <w:r>
        <w:t xml:space="preserve"> major barrier for the use of BR as a single raw material for IP </w:t>
      </w:r>
      <w:r>
        <w:fldChar w:fldCharType="begin" w:fldLock="1"/>
      </w:r>
      <w:r w:rsidR="000E418E">
        <w:instrText>ADDIN CSL_CITATION {"citationItems":[{"id":"ITEM-1","itemData":{"DOI":"10.1080/08827500802498199","ISBN":"0882-7508","ISSN":"0882-7508","abstract":"Red mud is a residue coming from the metallurgical treatment of bauxite with the Bayer process. Million of tons of red mud are produced annually worldwide and disposed of on land, degrading vast areas. Therefore, red mud utilization is a first-priority issue for any alumina plant. In the present work, the potential use of red mud for synthesis of inorganic polymeric materials through geopolymerization process was studied. The main focus was the production of inorganic polymeric materials that could be used in the construction sector as artificial structural elements such as massive bricks. The geopolymerization process involves a chemical reaction between red mud and alkali metal silicate solution under highly alkaline conditions. The product of this reaction is an amorphous to semi-crystalline polymeric structure, which binds the individual particles of red mud transforming the initial granular material to a compact and strong one. The effect of main synthesis parameterslike solid-to-liquid ratio, caustic soda as well as soluble silica concentrations, and metakaolin additionon the properties of red mud-based inorganic polymeric materials was investigated. The results showed that the produced materials have high compressive strength, very low water absorption, satisfactory apparent density, and excellent fire resistance. Therefore, this work proved that the red mud-based inorganic polymeric materials have promising properties and have the potential to be used as artificial structural elements in the construction sector.","author":[{"dropping-particle":"","family":"Dimas","given":"Dimitrios D.","non-dropping-particle":"","parse-names":false,"suffix":""},{"dropping-particle":"","family":"Giannopoulou","given":"Ioanna P.","non-dropping-particle":"","parse-names":false,"suffix":""},{"dropping-particle":"","family":"Panias","given":"Dimitrios","non-dropping-particle":"","parse-names":false,"suffix":""}],"container-title":"Mineral Processing and Extractive Metallurgy Review","id":"ITEM-1","issue":"3","issued":{"date-parts":[["2009"]]},"page":"211-239","title":"Utilization of Alumina Red Mud for Synthesis of Inorganic Polymeric Materials","type":"article-journal","volume":"30"},"uris":["http://www.mendeley.com/documents/?uuid=50fc7c12-66f3-4dc7-9cdc-ab8150059674"]}],"mendeley":{"formattedCitation":"(Dimas et al., 2009)","plainTextFormattedCitation":"(Dimas et al., 2009)","previouslyFormattedCitation":"(Dimas et al., 2009)"},"properties":{"noteIndex":0},"schema":"https://github.com/citation-style-language/schema/raw/master/csl-citation.json"}</w:instrText>
      </w:r>
      <w:r>
        <w:fldChar w:fldCharType="separate"/>
      </w:r>
      <w:r w:rsidRPr="00336DFA">
        <w:rPr>
          <w:noProof/>
        </w:rPr>
        <w:t>(Dimas et al., 2009)</w:t>
      </w:r>
      <w:r>
        <w:fldChar w:fldCharType="end"/>
      </w:r>
      <w:r>
        <w:t>.  As a result, m</w:t>
      </w:r>
      <w:r w:rsidRPr="00255475">
        <w:t xml:space="preserve">ost of the work deals with the addition of established precursors, such as metakaolin </w:t>
      </w:r>
      <w:r>
        <w:fldChar w:fldCharType="begin" w:fldLock="1"/>
      </w:r>
      <w:r w:rsidR="000E418E">
        <w:instrText>ADDIN CSL_CITATION {"citationItems":[{"id":"ITEM-1","itemData":{"ISSN":"15802949","author":[{"dropping-particle":"","family":"Vukčević","given":"Mira","non-dropping-particle":"","parse-names":false,"suffix":""},{"dropping-particle":"","family":"Turović","given":"Danka","non-dropping-particle":"","parse-names":false,"suffix":""},{"dropping-particle":"","family":"Krgović","given":"Milun","non-dropping-particle":"","parse-names":false,"suffix":""},{"dropping-particle":"","family":"Bošković","given":"Ivana","non-dropping-particle":"","parse-names":false,"suffix":""},{"dropping-particle":"","family":"Ivanović","given":"Mileta","non-dropping-particle":"","parse-names":false,"suffix":""},{"dropping-particle":"","family":"Zejak","given":"Radomir","non-dropping-particle":"","parse-names":false,"suffix":""}],"container-title":"Materiali in Tehnologije","id":"ITEM-1","issue":"1","issued":{"date-parts":[["2013"]]},"page":"99-104","title":"Utilization of geopolymerization for obtaining construction materials based on red mud","type":"article-journal","volume":"47"},"uris":["http://www.mendeley.com/documents/?uuid=7307c294-3062-4160-bdfc-6e2f3e5eebf2"]},{"id":"ITEM-2","itemData":{"DOI":"10.1007/s12649-013-9281-4","ISSN":"1877265X","abstract":"This contribution reports the use of industrial wastes, red mud and tionite, obtained upon refining and extraction of bauxite and titania ores, respectively. For red mud, two applications were explored: geopolymers and clinker/cement. According to this study, only after 14 days the effects of addition of red mud are translated into technological properties of geopolymers. Moreover, in small proportions the mechanical strength was improved at 28 days curing, certainly due to the high alkaline nature of the waste. Belitic clinkers with balanced amounts of cementitious phases were produced at 1,350 °C. Mortars cured for 10 days produced from those clinkers/cements show mechanical strength that tends to increase when high amounts of C3S are formed. The relative content of C2S is also important in the hardening process. With the addition of red mud, the technological properties of the mortars were enhanced due to the pozzolanic reactivity of this sludge. The tionite was selected to be recycled as ceramic pigment. The colorimetric parameters of tionite pigment calcined at 1,200 °C and its application in transparent glaze show a light brownish colour, due to the strong brightness (L*). This colour should be exalted by the intercalation of metal ions present in the sludge that could form a metal bearing rutile phase. In the glaze, the yellow component (+b*) doubled and responds for the final beige coloration. © Springer Science+Business Media Dordrecht 2014.","author":[{"dropping-particle":"","family":"Labrincha","given":"Jo??o A.","non-dropping-particle":"","parse-names":false,"suffix":""},{"dropping-particle":"","family":"Marques","given":"Joana I.","non-dropping-particle":"","parse-names":false,"suffix":""},{"dropping-particle":"","family":"Hajjaji","given":"Walid","non-dropping-particle":"","parse-names":false,"suffix":""},{"dropping-particle":"","family":"Senff","given":"Luciano","non-dropping-particle":"","parse-names":false,"suffix":""},{"dropping-particle":"","family":"Zanelli","given":"Chiara","non-dropping-particle":"","parse-names":false,"suffix":""},{"dropping-particle":"","family":"Dondi","given":"Michele","non-dropping-particle":"","parse-names":false,"suffix":""},{"dropping-particle":"","family":"Rocha","given":"Fernando","non-dropping-particle":"","parse-names":false,"suffix":""}],"container-title":"Waste and Biomass Valorization","id":"ITEM-2","issue":"3","issued":{"date-parts":[["2014"]]},"page":"385-392","title":"Novel inorganic products based on industrial wastes","type":"article-journal","volume":"5"},"uris":["http://www.mendeley.com/documents/?uuid=db1968d7-7ef1-42d0-bde2-c2629ea9b5c2"]},{"id":"ITEM-3","itemData":{"DOI":"10.1016/j.matdes.2013.05.058","ISBN":"02613069","ISSN":"18734197","abstract":"New geopolymer formulations were designed by sodium silicate/NaOH activation of metakaolin, iron oxide and red mud mixtures. The effects of source materials on the microstructure and mechanical properties were studied. Each formulation induces different degree of geopolymerization reaction as reflected by the phase composition where the amorphous phase is predominant. These vestiges are related to silica provided by sodium silicate more reactive in the geopolymerization than the silica of metakaolin. Moreover, the variation in strength between the geopolymers is attributed to the same factors, with higher porosity and nonreacted phases found in the red mud based geopolymer matrix. In function of curing time, the mechanical strength increased from day 1 to 28 for the samples with a low amount of red mud. In these two cases, longer curing time improves the geopolymerization state resulting in higher compressive load. The metakaolin and metakaolin/red mud products exhibited comparable water absorption and density. © 2013 Elsevier Ltd.","author":[{"dropping-particle":"","family":"Hajjaji","given":"W.","non-dropping-particle":"","parse-names":false,"suffix":""},{"dropping-particle":"","family":"Andrejkovičová","given":"S.","non-dropping-particle":"","parse-names":false,"suffix":""},{"dropping-particle":"","family":"Zanelli","given":"C.","non-dropping-particle":"","parse-names":false,"suffix":""},{"dropping-particle":"","family":"Alshaaer","given":"M.","non-dropping-particle":"","parse-names":false,"suffix":""},{"dropping-particle":"","family":"Dondi","given":"M.","non-dropping-particle":"","parse-names":false,"suffix":""},{"dropping-particle":"","family":"Labrincha","given":"J. A.","non-dropping-particle":"","parse-names":false,"suffix":""},{"dropping-particle":"","family":"Rocha","given":"F.","non-dropping-particle":"","parse-names":false,"suffix":""}],"container-title":"Materials and Design","id":"ITEM-3","issued":{"date-parts":[["2013"]]},"page":"648-654","title":"Composition and technological properties of geopolymers based on metakaolin and red mud","type":"article-journal","volume":"52"},"uris":["http://www.mendeley.com/documents/?uuid=73b03b47-0afb-4d91-a3ce-b56cfcf771fd"]},{"id":"ITEM-4","itemData":{"DOI":"10.1016/j.ceramint.2016.01.144","ISBN":"2123596469","ISSN":"02728842","abstract":"The structure and mechanical performance of red mud-metakaolin based geopolymers with varying red mud contents (0-40. wt% red mud in red mud-metakaolin raw material mixture) were investigated by X-ray diffraction (XRD), Fourier Transform Infrared (FTIR) Spectroscopy, Scanning Electron Microscopy (SEM) and compressive strength measurements to understand structure-performance relationships in this system. Systematic addition of red mud into geopolymer system resulted in constant loss of intensity and increased broadening of the main features in XRD and FTIR spectra. The compressive strength was at maximum (51.5. MPa) for metakaolin based geopolymer while increasing red mud incorporation in this system resulted in a nearly monotonous decreasing trend in the compressive strength. Iron species originating from red mud were found to be the main factor controlling the evolution of structural characteristics and mechanical performance. The main role of iron species in the system was to prevent dissolution of raw materials in the geopolymer matrix to a great extent. This was supported by diffraction, spectroscopy and microscopy results and was correlated with the decreasing trend in compressive strength with increasing red mud content.","author":[{"dropping-particle":"","family":"Kaya","given":"Kardelen","non-dropping-particle":"","parse-names":false,"suffix":""},{"dropping-particle":"","family":"Soyer-Uzun","given":"Sezen","non-dropping-particle":"","parse-names":false,"suffix":""}],"container-title":"Ceramics International","id":"ITEM-4","issue":"6","issued":{"date-parts":[["2015"]]},"page":"7406-7413","publisher":"Elsevier","title":"Evolution of structural characteristics and compressive strength in red mud-metakaolin based geopolymer systems","type":"article-journal","volume":"42"},"uris":["http://www.mendeley.com/documents/?uuid=605c4900-afb0-4eb6-9cff-0f886e430505"]},{"id":"ITEM-5","itemData":{"DOI":"10.1080/08827500802498199","ISBN":"0882-7508","ISSN":"0882-7508","abstract":"Red mud is a residue coming from the metallurgical treatment of bauxite with the Bayer process. Million of tons of red mud are produced annually worldwide and disposed of on land, degrading vast areas. Therefore, red mud utilization is a first-priority issue for any alumina plant. In the present work, the potential use of red mud for synthesis of inorganic polymeric materials through geopolymerization process was studied. The main focus was the production of inorganic polymeric materials that could be used in the construction sector as artificial structural elements such as massive bricks. The geopolymerization process involves a chemical reaction between red mud and alkali metal silicate solution under highly alkaline conditions. The product of this reaction is an amorphous to semi-crystalline polymeric structure, which binds the individual particles of red mud transforming the initial granular material to a compact and strong one. The effect of main synthesis parameterslike solid-to-liquid ratio, caustic soda as well as soluble silica concentrations, and metakaolin additionon the properties of red mud-based inorganic polymeric materials was investigated. The results showed that the produced materials have high compressive strength, very low water absorption, satisfactory apparent density, and excellent fire resistance. Therefore, this work proved that the red mud-based inorganic polymeric materials have promising properties and have the potential to be used as artificial structural elements in the construction sector.","author":[{"dropping-particle":"","family":"Dimas","given":"Dimitrios D.","non-dropping-particle":"","parse-names":false,"suffix":""},{"dropping-particle":"","family":"Giannopoulou","given":"Ioanna P.","non-dropping-particle":"","parse-names":false,"suffix":""},{"dropping-particle":"","family":"Panias","given":"Dimitrios","non-dropping-particle":"","parse-names":false,"suffix":""}],"container-title":"Mineral Processing and Extractive Metallurgy Review","id":"ITEM-5","issue":"3","issued":{"date-parts":[["2009"]]},"page":"211-239","title":"Utilization of Alumina Red Mud for Synthesis of Inorganic Polymeric Materials","type":"article-journal","volume":"30"},"uris":["http://www.mendeley.com/documents/?uuid=50fc7c12-66f3-4dc7-9cdc-ab8150059674"]}],"mendeley":{"formattedCitation":"(Dimas et al., 2009; Hajjaji et al., 2013; Kaya and Soyer-Uzun, 2015; Labrincha et al., 2014; Vukčević et al., 2013)","plainTextFormattedCitation":"(Dimas et al., 2009; Hajjaji et al., 2013; Kaya and Soyer-Uzun, 2015; Labrincha et al., 2014; Vukčević et al., 2013)","previouslyFormattedCitation":"(Dimas et al., 2009; Hajjaji et al., 2013; Kaya and Soyer-Uzun, 2015; Labrincha et al., 2014; Vukčević et al., 2013)"},"properties":{"noteIndex":0},"schema":"https://github.com/citation-style-language/schema/raw/master/csl-citation.json"}</w:instrText>
      </w:r>
      <w:r>
        <w:fldChar w:fldCharType="separate"/>
      </w:r>
      <w:r w:rsidRPr="00762602">
        <w:rPr>
          <w:noProof/>
        </w:rPr>
        <w:t>(Dimas et al., 2009; Hajjaji et al., 2013; Kaya and Soyer-Uzun, 2015; Labrincha et al., 2014; Vukčević et al., 2013)</w:t>
      </w:r>
      <w:r>
        <w:fldChar w:fldCharType="end"/>
      </w:r>
      <w:r w:rsidRPr="00255475">
        <w:t xml:space="preserve">, ground granulated blast furnace slag (GGBFS) </w:t>
      </w:r>
      <w:r>
        <w:fldChar w:fldCharType="begin" w:fldLock="1"/>
      </w:r>
      <w:r w:rsidR="000E418E">
        <w:instrText>ADDIN CSL_CITATION {"citationItems":[{"id":"ITEM-1","itemData":{"DOI":"10.1111/jace.12840","ISBN":"1551-2916","ISSN":"15512916","abstract":"A composite geopolymeric material was synthesized from Bayer red mud combined with granulated blast-furnace slag. Thermal pretreatment was applied to improve the solubility of red mud in alkaline solution to promote geopolymerization. The dissolution efficiencies of alumina and silica reached a maximum when red mud was calcined at 800°C, resulting in the highest compressive strength of binders. It was demonstrated that a higher solubility of calcined red mud led to a higher strength of the composite binders. The characteristic microstructures of hydration products were studied to illustrate the geopolymerization process by XRD, FTIR and SEM. The results showed that aluminosilicates were dissolved in the alkaline solution to form nanostructural particulates during the early dissolution process, and then accumulated to form highly dense geopolymeric matrices through solidification reaction. The coexistence of geopolymer and C-(A)-S-H is suggested to contribute to the good performance of the composite binders. © 2014 The American Ceramic Society.","author":[{"dropping-particle":"","family":"Ye","given":"Nan","non-dropping-particle":"","parse-names":false,"suffix":""},{"dropping-particle":"","family":"Yang","given":"Jiakuan","non-dropping-particle":"","parse-names":false,"suffix":""},{"dropping-particle":"","family":"Ke","given":"Xinyuan","non-dropping-particle":"","parse-names":false,"suffix":""},{"dropping-particle":"","family":"Zhu","given":"Jing","non-dropping-particle":"","parse-names":false,"suffix":""},{"dropping-particle":"","family":"Li","given":"Yalin","non-dropping-particle":"","parse-names":false,"suffix":""},{"dropping-particle":"","family":"Xiang","given":"Cheng","non-dropping-particle":"","parse-names":false,"suffix":""},{"dropping-particle":"","family":"Wang","given":"Huabin","non-dropping-particle":"","parse-names":false,"suffix":""},{"dropping-particle":"","family":"Li","given":"Lei","non-dropping-particle":"","parse-names":false,"suffix":""},{"dropping-particle":"","family":"Xiao","given":"Bo","non-dropping-particle":"","parse-names":false,"suffix":""}],"container-title":"Journal of the American Ceramic Society","id":"ITEM-1","issue":"5","issued":{"date-parts":[["2014"]]},"page":"1652-1660","title":"Synthesis and characterization of geopolymer from bayer red mud with thermal pretreatment","type":"article-journal","volume":"97"},"uris":["http://www.mendeley.com/documents/?uuid=01d0b3cd-571b-4999-997d-18105e76abf6"]},{"id":"ITEM-2","itemData":{"DOI":"10.1016/S0956-053X(97)00004-4","ISBN":"0956-053X","ISSN":"0956053X","abstract":"Red mud from HINDALCO (Hindustan Aluminium Corporation) Industries Limited, Renukoot, India, contains significant quantities of alumina, iron oxide and silica. Presence of the said constituents makes it a suitable ingredient for the preparation of special cements. Preparation of three varieties of cements was investigated, namely: (a) aluminoferrite (C4AF)- belite (??-C2S) using lime + red mud + fly ash; (b) aluminoferrite-ferrite (C2F)-aluminates (C3A and C12A7) utilising lime + red mud + bauxite; and (c) sulfoaluminate (C4A3S??)-aluminoferrite-ferrite using lime + red mud + bauxite + gypsum. The effects of composition (proportions of lime, red mud, fly ash, bauxite and gypsum), firing temperature and duration on the properties of cements produced were studied in detail. Cements made from lime + red mud + bauxite or lime + red mud + bauxite + gypsum exhibit strengths comparable or superior to ordinary Portland cement (OPC). On the other hand, those prepared using lime + red mud + fly ash did not have sufficient strength. Moreover, it was not possible to replace bauxite by fly ash (as a source of alumina) in any significant quantity.","author":[{"dropping-particle":"","family":"Singh","given":"Maneesh","non-dropping-particle":"","parse-names":false,"suffix":""},{"dropping-particle":"","family":"Upadhayay","given":"S. N.","non-dropping-particle":"","parse-names":false,"suffix":""},{"dropping-particle":"","family":"Prasad","given":"P. M.","non-dropping-particle":"","parse-names":false,"suffix":""}],"container-title":"Waste Management","id":"ITEM-2","issue":"8","issued":{"date-parts":[["1996"]]},"page":"665-670","title":"Preparation of special cements from red mud","type":"article-journal","volume":"16"},"uris":["http://www.mendeley.com/documents/?uuid=cea714a7-0bdd-4ff3-9d93-523c3f10dea0","http://www.mendeley.com/documents/?uuid=0048f4ea-0257-4ec7-9143-36d3b742a06e"]}],"mendeley":{"formattedCitation":"(Singh et al., 1996; Ye et al., 2014)","plainTextFormattedCitation":"(Singh et al., 1996; Ye et al., 2014)","previouslyFormattedCitation":"(Singh et al., 1996; Ye et al., 2014)"},"properties":{"noteIndex":0},"schema":"https://github.com/citation-style-language/schema/raw/master/csl-citation.json"}</w:instrText>
      </w:r>
      <w:r>
        <w:fldChar w:fldCharType="separate"/>
      </w:r>
      <w:r w:rsidRPr="00255475">
        <w:rPr>
          <w:noProof/>
        </w:rPr>
        <w:t>(Singh et al., 1996; Ye et al., 2014)</w:t>
      </w:r>
      <w:r>
        <w:fldChar w:fldCharType="end"/>
      </w:r>
      <w:r w:rsidRPr="00255475">
        <w:t xml:space="preserve">, fly ash </w:t>
      </w:r>
      <w:r>
        <w:fldChar w:fldCharType="begin" w:fldLock="1"/>
      </w:r>
      <w:r w:rsidR="000E418E">
        <w:instrText>ADDIN CSL_CITATION {"citationItems":[{"id":"ITEM-1","itemData":{"DOI":"10.1016/j.conbuildmat.2012.09.013","ISBN":"09500618","ISSN":"09500618","abstract":"Red mud, a residue of Bayer's process was used synergistically with fly ash to develop geopolymer. An influence of 0-40% red mud addition on the reaction, structure and properties of fly ash geopolymer was studied using isothermal conduction calorimetry (ICC), Fourier transform infrared spectroscopy (FTIR), electron probe microanalysis (EPMA) and mechanical testing. An improvement in intensity of reaction was observed with the red mud addition at all replacement level but improvement in setting time and compressive strength was observed only in the samples containing 5-20% red mud. Structural characterization revealed that rate of reaction was dependent on the NaOH concentration but the development of mechanical properties were related to the compact microstructure which was developed due to the combined effect of NaOH concentration, solubility of silicates and the presence of iron oxides. Based on scientific understanding, paving blocks using 10% and 20% red mud was developed. These blocks were meeting IS 15658: 2006 standard and leaching of toxic metals were within permissible limits. ?? 2012 Elsevier Ltd. All rights reserved.","author":[{"dropping-particle":"","family":"Kumar","given":"Anuj","non-dropping-particle":"","parse-names":false,"suffix":""},{"dropping-particle":"","family":"Kumar","given":"Sanjay","non-dropping-particle":"","parse-names":false,"suffix":""}],"container-title":"Construction and Building Materials","id":"ITEM-1","issued":{"date-parts":[["2013"]]},"page":"865-871","publisher":"Elsevier Ltd","title":"Development of paving blocks from synergistic use of red mud and fly ash using geopolymerization","type":"article-journal","volume":"38"},"uris":["http://www.mendeley.com/documents/?uuid=1b129da4-0c18-4eda-87d3-4fbb2fddf390"]},{"id":"ITEM-2","itemData":{"DOI":"10.3141/2167-01","ISSN":"0361-1981","abstract":"alkalinity and high water content are the two major environmental concerns for the safe and economical disposal of red mud. Thus, its treatment and disposal are major difficulties for alumina refineries. In the past, red mud was disposed of from the plant site mainly in two ways: dumping it (a) directly into the sea or else (b) onto the land in waste ponds, whose monitoring and maintenance are costly. Now, however, stricter environmental regulations are being enforced, and new technologies are urgently needed for the disposal or recycling and reuse of red mud. Although extensive research on red mud uti-lization has been conducted in past decades (e.g., 3–9), a widely accepted technology that can be employed for the recycling of red mud is not available at present. Recently, a new class of materials, inorganic geopolymers, has been studied intensively as a viable economical alternative to organic polymers and inorganic cements in diverse applications, including military (10), aircraft (11, 12), high-tech ceramics (13), thermal insulating foams (14), fireproof building materials (15), protective coatings (16), refractory adhesives (17), and hybrid inorganic–organic composites (18, 19), because of their exceptionally high compressive strength, high thermal and chemical stability, and adhesive behavior. Geopolymers are inorganic aluminosilicates formed by polycondens-ing tetrahedral silica (SiO 4) and alumina (AlO 4) under highly alkaline conditions into a polymeric structure. where M + = alkali cation (K + or Na +) for charge balance, n = degree of polymerization, and z = Si/Al molar ratio. With varying Si/Al ratios (i.e., z = 1 to 15, up to 300), geopolymers exhibit different properties (20): low ratios result in three-dimensional, cross-linked, rigid networks with stiff and brittle properties and thus cementitious and ceramic material; ratios &gt;3 and &gt;15 result in two-dimensional networks and linearly linked polymeric structures with adhesive and rubbery properties, respectively. Geopolymer formation consists of two basic steps (14, 21–24): (a) generation of reactive species, or alkali activation, which is the dissolution of amorphous phases (e.g., aluminosilicates) by alkali to produce small reactive silica and alumina, and (b) actual setting reac-tion, which is the polycondensation process leading to the formation of amorphous to semicrystalline aluminosilicate polymers. In partic-ular, the presence of reactive alumina [Al(IV)] and silica [Si(IV)] and","author":[{"dropping-particle":"","family":"Zhang","given":"Guoping","non-dropping-particle":"","parse-names":false,"suffix":""},{"dropping-particle":"","family":"He","given":"Jian","non-dropping-particle":"","parse-names":false,"suffix":""},{"dropping-particle":"","family":"Gambrell","given":"Robert","non-dropping-particle":"","parse-names":false,"suffix":""}],"container-title":"Transportation Research Record: Journal of the Transportation Research Board","id":"ITEM-2","issue":"Iv","issued":{"date-parts":[["2010"]]},"page":"1-9","title":"Synthesis, Characterization, and Mechanical Properties of Red Mud-Based Geopolymers","type":"article-journal","volume":"2167"},"uris":["http://www.mendeley.com/documents/?uuid=27587ddb-dd8a-4a4f-b0df-fb43e6d99d44"]},{"id":"ITEM-3","itemData":{"DOI":"10.3846/enviro.2014.039","ISBN":"9786094576409","ISSN":"2029-7092","abstract":"Coal burned thermal power plants are producing large amounts of solid waste, fly ash. The disposal of this waste is a huge environmental problem at this moment. Generally, fly ash particles are very fine (&lt; 100 µm) and mainly round shaped and glassy materials form an outer shell on it. According to several authors the attrition or grinding of this shell improves the activity of the fly ash. This paper deals with the laboratory investigation of ground fly ash based geopolymer. This material can be applied in many fields, mainly in the construction industry, e.g. non-structural elements, concrete, pavements and products, containment and immobilization of toxic, hazardous and radioactive wastes, advanced structural tooling and refractory ceramics, and fire resistant composites used in buildings, etc… In this study, the main process engineering properties of the raw materials, such as particle size distribution, moisture content, density and specific surface area are shown. Beside fly ash, red mud in different rate was used to prepare geopolymer. Systematic experimental series were carried out in order to optimize the preparation process. The particle size distribution of fly ash was measured by laser diffraction, the structure of fly ash and geopolymer was determined by Fourier Transformed Infrared Spectroscopy (FT-IR). The strength of the formed geopolymers was characterized by the uniaxial compressive strength. Additionally, leaching tests were carried out to monitor the stability of the main element of the fly ash. The product properties were studied as function of fly ash fineness. As a result of the investigation it was found that the geopolymer strength increased as function of fly ash fineness. Furthermore, it was established that the red mud had a positive effect on geopolymer strength. Therefore, the synergetic application of the above wastes is of good potential to create an industrial final product. Of course, several further experimental work is necessary to study the system from environmental point of view.","author":[{"dropping-particle":"","family":"Mucsi","given":"Gábor","non-dropping-particle":"","parse-names":false,"suffix":""},{"dropping-particle":"","family":"Lakatos","given":"János","non-dropping-particle":"","parse-names":false,"suffix":""},{"dropping-particle":"","family":"Molnár","given":"Zoltán","non-dropping-particle":"","parse-names":false,"suffix":""},{"dropping-particle":"","family":"Szabó","given":"Roland","non-dropping-particle":"","parse-names":false,"suffix":""}],"container-title":"The 9th International Conference “ENVIRONMENTAL ENGINEERING”","id":"ITEM-3","issue":"May","issued":{"date-parts":[["2014"]]},"page":"1-8","title":"Development of geopolymer using industrial waste materials","type":"article-journal"},"uris":["http://www.mendeley.com/documents/?uuid=59350221-8cfc-44d0-9fa1-65812843031e"]}],"mendeley":{"formattedCitation":"(Kumar and Kumar, 2013; Mucsi et al., 2014; Zhang et al., 2010)","plainTextFormattedCitation":"(Kumar and Kumar, 2013; Mucsi et al., 2014; Zhang et al., 2010)","previouslyFormattedCitation":"(Kumar and Kumar, 2013; Mucsi et al., 2014; Zhang et al., 2010)"},"properties":{"noteIndex":0},"schema":"https://github.com/citation-style-language/schema/raw/master/csl-citation.json"}</w:instrText>
      </w:r>
      <w:r>
        <w:fldChar w:fldCharType="separate"/>
      </w:r>
      <w:r w:rsidRPr="00255475">
        <w:rPr>
          <w:noProof/>
        </w:rPr>
        <w:t>(Kumar and Kumar, 2013; Mucsi et al., 2014; Zhang et al., 2010)</w:t>
      </w:r>
      <w:r>
        <w:fldChar w:fldCharType="end"/>
      </w:r>
      <w:r w:rsidRPr="00255475">
        <w:t xml:space="preserve">, rice husk ash </w:t>
      </w:r>
      <w:r w:rsidRPr="00255475">
        <w:fldChar w:fldCharType="begin" w:fldLock="1"/>
      </w:r>
      <w:r w:rsidR="000E418E">
        <w:instrText>ADDIN CSL_CITATION {"citationItems":[{"id":"ITEM-1","itemData":{"DOI":"10.1016/j.cemconcomp.2012.11.010","ISBN":"1225578604","ISSN":"09589465","abstract":"A new type of geopolymer composite was synthesized from two industrial wastes, red mud (RM) and rice husk ash (RHA), at varying mixing ratios of raw materials and the resulting products characterized by mechanical compression testing, X-ray diffraction, and scanning electron microscopy to assess their mechanical properties, microstructure, and geopolymerization reactions. Prolonged curing significantly increases the compressive strength and Young's modulus, but reduces the ductility. Higher RHA/RM ratios generally lead to higher strength, stiffness, and ductility, but excessive RHA may cause the opposite effect. The compressive strength ranges from 3.2 to 20.5 MPa for the synthesized geopolymers with nominal Si/Al ratios of 1.68-3.35. Microstructural and compositional analyses showed that the final products are mainly composed of amorphous geopolymer binder with both inherited and neoformed crystalline phases as fillers, rendering the composites very complex composition and highly variable mechanical properties. Uncertainties in the composition, microstructure, the extent of RHA dissolution, and side reactions may be potential barriers for the practical application of the RM-RHA based geopolymers as a construction material.?? 2012 Elsevier Ltd. All rights reserved.","author":[{"dropping-particle":"","family":"He","given":"Jian","non-dropping-particle":"","parse-names":false,"suffix":""},{"dropping-particle":"","family":"Jie","given":"Yuxin","non-dropping-particle":"","parse-names":false,"suffix":""},{"dropping-particle":"","family":"Zhang","given":"Jianhong","non-dropping-particle":"","parse-names":false,"suffix":""},{"dropping-particle":"","family":"Yu","given":"Yuzhen","non-dropping-particle":"","parse-names":false,"suffix":""},{"dropping-particle":"","family":"Zhang","given":"Guoping","non-dropping-particle":"","parse-names":false,"suffix":""}],"container-title":"Cement and Concrete Composites","id":"ITEM-1","issue":"1","issued":{"date-parts":[["2013"]]},"page":"108-118","title":"Synthesis and characterization of red mud and rice husk ash-based geopolymer composites","type":"article-journal","volume":"37"},"uris":["http://www.mendeley.com/documents/?uuid=ad076e3d-feed-4f49-98f2-5f76688d13a4","http://www.mendeley.com/documents/?uuid=c1c745e5-312e-4ed5-bcaa-4405271f0263"]}],"mendeley":{"formattedCitation":"(He et al., 2013)","plainTextFormattedCitation":"(He et al., 2013)","previouslyFormattedCitation":"(He et al., 2013)"},"properties":{"noteIndex":0},"schema":"https://github.com/citation-style-language/schema/raw/master/csl-citation.json"}</w:instrText>
      </w:r>
      <w:r w:rsidRPr="00255475">
        <w:fldChar w:fldCharType="separate"/>
      </w:r>
      <w:r w:rsidRPr="00255475">
        <w:rPr>
          <w:noProof/>
        </w:rPr>
        <w:t>(He et al., 2013)</w:t>
      </w:r>
      <w:r w:rsidRPr="00255475">
        <w:fldChar w:fldCharType="end"/>
      </w:r>
      <w:r w:rsidRPr="00255475">
        <w:t xml:space="preserve"> or ferronickel slag </w:t>
      </w:r>
      <w:r w:rsidRPr="00255475">
        <w:fldChar w:fldCharType="begin" w:fldLock="1"/>
      </w:r>
      <w:r w:rsidR="000E418E">
        <w:instrText>ADDIN CSL_CITATION {"citationItems":[{"id":"ITEM-1","itemData":{"DOI":"10.1016/j.conbuildmat.2016.06.051","ISSN":"09500618","abstract":"In the present experimental study, the valorization of construction and demolition (C&amp;D) and industrial wastes, namely ferronickel slag and red mud, through alkali activation is investigated. Specimens were produced by mixing various proportions of the raw materials with NaOH and sodium silicate solutions. The paste was cast in cubic metal moulds with an edge of 5 cm, cured at 80 ??C for 24 h and then aged for 7 days at room temperature. The produced specimens were subjected to compressive strength testing. The effect of the molarity of the activating solution, the mineralogy of the raw materials and the ratios of SiO2/Al2O3 and SiO2/(Al2O3 + CaO) on the compressive strength of the final products was investigated. Also, the effect of high temperature heating (400-800 ??C) on the structural integrity of the produced specimens was assessed. The use of analytical techniques, namely X-ray diffraction, Thermogravimetric Analysis, Fourier Transform Infrared Spectroscopy and Scanning Electron Microscopy provided insights on the morphology, structure and thermal resistance of the produced specimens.","author":[{"dropping-particle":"","family":"Zaharaki","given":"Dimitra","non-dropping-particle":"","parse-names":false,"suffix":""},{"dropping-particle":"","family":"Galetakis","given":"Michalis","non-dropping-particle":"","parse-names":false,"suffix":""},{"dropping-particle":"","family":"Komnitsas","given":"Kostas","non-dropping-particle":"","parse-names":false,"suffix":""}],"container-title":"Construction and Building Materials","id":"ITEM-1","issued":{"date-parts":[["2016"]]},"page":"686-693","publisher":"Elsevier Ltd","title":"Valorization of construction and demolition (C&amp;D) and industrial wastes through alkali activation","type":"article-journal","volume":"121"},"uris":["http://www.mendeley.com/documents/?uuid=705b08b8-91bb-4928-a6ce-16a635e5fdcf","http://www.mendeley.com/documents/?uuid=1af7de92-186d-4dfb-a70c-9368a0c7247d"]}],"mendeley":{"formattedCitation":"(Zaharaki et al., 2016)","plainTextFormattedCitation":"(Zaharaki et al., 2016)","previouslyFormattedCitation":"(Zaharaki et al., 2016)"},"properties":{"noteIndex":0},"schema":"https://github.com/citation-style-language/schema/raw/master/csl-citation.json"}</w:instrText>
      </w:r>
      <w:r w:rsidRPr="00255475">
        <w:fldChar w:fldCharType="separate"/>
      </w:r>
      <w:r w:rsidRPr="00255475">
        <w:rPr>
          <w:noProof/>
        </w:rPr>
        <w:t>(Zaharaki et al., 2016)</w:t>
      </w:r>
      <w:r w:rsidRPr="00255475">
        <w:fldChar w:fldCharType="end"/>
      </w:r>
      <w:r w:rsidRPr="00255475">
        <w:t xml:space="preserve"> to BR. In most of these works BR acts solely physically, as a filler material, in some cases </w:t>
      </w:r>
      <w:r w:rsidRPr="00D26AAE">
        <w:t xml:space="preserve">improving </w:t>
      </w:r>
      <w:r w:rsidRPr="00255475">
        <w:t>the mechanical properties to up to a certain</w:t>
      </w:r>
      <w:r>
        <w:t xml:space="preserve"> level of</w:t>
      </w:r>
      <w:r w:rsidRPr="00255475">
        <w:t xml:space="preserve"> content.</w:t>
      </w:r>
      <w:r>
        <w:t xml:space="preserve"> </w:t>
      </w:r>
      <w:r w:rsidRPr="00255475">
        <w:t>High additions of BR generally le</w:t>
      </w:r>
      <w:r w:rsidR="00EF378F">
        <w:t>a</w:t>
      </w:r>
      <w:r w:rsidRPr="00255475">
        <w:t xml:space="preserve">d to a significant loss in </w:t>
      </w:r>
      <w:r>
        <w:t>mechanical properties</w:t>
      </w:r>
      <w:r w:rsidRPr="00255475">
        <w:t xml:space="preserve"> compared to corresponding reference systems. </w:t>
      </w:r>
      <w:r>
        <w:t xml:space="preserve">Promising results were nevertheless presented by, for instance, </w:t>
      </w:r>
      <w:r w:rsidRPr="00F9715F">
        <w:t xml:space="preserve">Dimas et al. </w:t>
      </w:r>
      <w:r>
        <w:fldChar w:fldCharType="begin" w:fldLock="1"/>
      </w:r>
      <w:r w:rsidR="000E418E">
        <w:instrText>ADDIN CSL_CITATION {"citationItems":[{"id":"ITEM-1","itemData":{"DOI":"10.1080/08827500802498199","ISBN":"0882-7508","ISSN":"0882-7508","abstract":"Red mud is a residue coming from the metallurgical treatment of bauxite with the Bayer process. Million of tons of red mud are produced annually worldwide and disposed of on land, degrading vast areas. Therefore, red mud utilization is a first-priority issue for any alumina plant. In the present work, the potential use of red mud for synthesis of inorganic polymeric materials through geopolymerization process was studied. The main focus was the production of inorganic polymeric materials that could be used in the construction sector as artificial structural elements such as massive bricks. The geopolymerization process involves a chemical reaction between red mud and alkali metal silicate solution under highly alkaline conditions. The product of this reaction is an amorphous to semi-crystalline polymeric structure, which binds the individual particles of red mud transforming the initial granular material to a compact and strong one. The effect of main synthesis parameterslike solid-to-liquid ratio, caustic soda as well as soluble silica concentrations, and metakaolin additionon the properties of red mud-based inorganic polymeric materials was investigated. The results showed that the produced materials have high compressive strength, very low water absorption, satisfactory apparent density, and excellent fire resistance. Therefore, this work proved that the red mud-based inorganic polymeric materials have promising properties and have the potential to be used as artificial structural elements in the construction sector.","author":[{"dropping-particle":"","family":"Dimas","given":"Dimitrios D.","non-dropping-particle":"","parse-names":false,"suffix":""},{"dropping-particle":"","family":"Giannopoulou","given":"Ioanna P.","non-dropping-particle":"","parse-names":false,"suffix":""},{"dropping-particle":"","family":"Panias","given":"Dimitrios","non-dropping-particle":"","parse-names":false,"suffix":""}],"container-title":"Mineral Processing and Extractive Metallurgy Review","id":"ITEM-1","issue":"3","issued":{"date-parts":[["2009"]]},"page":"211-239","title":"Utilization of Alumina Red Mud for Synthesis of Inorganic Polymeric Materials","type":"article-journal","volume":"30"},"suppress-author":1,"uris":["http://www.mendeley.com/documents/?uuid=50fc7c12-66f3-4dc7-9cdc-ab8150059674"]}],"mendeley":{"formattedCitation":"(2009)","plainTextFormattedCitation":"(2009)","previouslyFormattedCitation":"(2009)"},"properties":{"noteIndex":0},"schema":"https://github.com/citation-style-language/schema/raw/master/csl-citation.json"}</w:instrText>
      </w:r>
      <w:r>
        <w:fldChar w:fldCharType="separate"/>
      </w:r>
      <w:r w:rsidRPr="00255475">
        <w:rPr>
          <w:noProof/>
        </w:rPr>
        <w:t>(2009)</w:t>
      </w:r>
      <w:r>
        <w:fldChar w:fldCharType="end"/>
      </w:r>
      <w:r w:rsidRPr="00F9715F">
        <w:t xml:space="preserve"> </w:t>
      </w:r>
      <w:r>
        <w:t xml:space="preserve">who </w:t>
      </w:r>
      <w:r w:rsidRPr="00F9715F">
        <w:t>demonstrated the potential for</w:t>
      </w:r>
      <w:r w:rsidR="00A56AFC">
        <w:t xml:space="preserve"> good compressive strength values at</w:t>
      </w:r>
      <w:r w:rsidRPr="00F9715F">
        <w:t xml:space="preserve"> higher levels of BR (85</w:t>
      </w:r>
      <w:r w:rsidR="009849C2">
        <w:t xml:space="preserve"> </w:t>
      </w:r>
      <w:r w:rsidR="00D443E2">
        <w:t>wt.</w:t>
      </w:r>
      <w:r w:rsidRPr="00F9715F">
        <w:t>% BR, 15</w:t>
      </w:r>
      <w:r w:rsidR="009849C2">
        <w:t xml:space="preserve"> </w:t>
      </w:r>
      <w:r w:rsidR="00D443E2">
        <w:t>wt.</w:t>
      </w:r>
      <w:r w:rsidRPr="00F9715F">
        <w:t>% metakaolin), however these materials suffered from insufficient flexural strength for use in tiles, and very low resistance to freeze-thaw weathering.</w:t>
      </w:r>
    </w:p>
    <w:p w14:paraId="1565688C" w14:textId="1C3731DE" w:rsidR="00F00DD8" w:rsidRDefault="00F00DD8" w:rsidP="00894BFE">
      <w:r>
        <w:t>D</w:t>
      </w:r>
      <w:r w:rsidRPr="00255475">
        <w:t xml:space="preserve">ifferent routes are suggested </w:t>
      </w:r>
      <w:r>
        <w:t>to overcome the low reactivity of BR</w:t>
      </w:r>
      <w:r w:rsidRPr="00F9715F" w:rsidDel="00C9788A">
        <w:t xml:space="preserve"> </w:t>
      </w:r>
      <w:r>
        <w:t>including</w:t>
      </w:r>
      <w:r w:rsidRPr="00255475">
        <w:t xml:space="preserve"> thermal</w:t>
      </w:r>
      <w:r w:rsidR="000E418E">
        <w:t xml:space="preserve"> </w:t>
      </w:r>
      <w:r w:rsidR="000E418E">
        <w:fldChar w:fldCharType="begin" w:fldLock="1"/>
      </w:r>
      <w:r w:rsidR="002B1423">
        <w:instrText>ADDIN CSL_CITATION {"citationItems":[{"id":"ITEM-1","itemData":{"DOI":"10.1557/opl.2012.1546","author":[{"dropping-particle":"","family":"Ye","given":"Nan","non-dropping-particle":"","parse-names":false,"suffix":""},{"dropping-particle":"","family":"Zhu","given":"Jing","non-dropping-particle":"","parse-names":false,"suffix":""},{"dropping-particle":"","family":"Liu","given":"Jianwen","non-dropping-particle":"","parse-names":false,"suffix":""},{"dropping-particle":"","family":"Li","given":"Yalin","non-dropping-particle":"","parse-names":false,"suffix":""},{"dropping-particle":"","family":"Ke","given":"Xinyuan","non-dropping-particle":"","parse-names":false,"suffix":""},{"dropping-particle":"","family":"Yang","given":"Jiakuan","non-dropping-particle":"","parse-names":false,"suffix":""}],"container-title":"MRS Proceedings","id":"ITEM-1","issued":{"date-parts":[["2012"]]},"page":"imrc12–1488-7b–055","publisher":"Cambridge University Press","title":"Influence of Thermal Treatment on Phase Transformation and Dissolubility of Aluminosilicate Phase in Red Mud","type":"article-journal","volume":"1488"},"uris":["http://www.mendeley.com/documents/?uuid=c2af955b-dce3-4aeb-b02b-178068040577"]}],"mendeley":{"formattedCitation":"(Ye et al., 2012)","plainTextFormattedCitation":"(Ye et al., 2012)","previouslyFormattedCitation":"(Ye et al., 2012)"},"properties":{"noteIndex":0},"schema":"https://github.com/citation-style-language/schema/raw/master/csl-citation.json"}</w:instrText>
      </w:r>
      <w:r w:rsidR="000E418E">
        <w:fldChar w:fldCharType="separate"/>
      </w:r>
      <w:r w:rsidR="000E418E" w:rsidRPr="000E418E">
        <w:rPr>
          <w:noProof/>
        </w:rPr>
        <w:t>(Ye et al., 2012)</w:t>
      </w:r>
      <w:r w:rsidR="000E418E">
        <w:fldChar w:fldCharType="end"/>
      </w:r>
      <w:r w:rsidRPr="00255475">
        <w:t xml:space="preserve">, chemical </w:t>
      </w:r>
      <w:r w:rsidRPr="00255475">
        <w:fldChar w:fldCharType="begin" w:fldLock="1"/>
      </w:r>
      <w:r w:rsidR="000E418E">
        <w:instrText>ADDIN CSL_CITATION {"citationItems":[{"id":"ITEM-1","itemData":{"DOI":"10.1007/s10853-015-9338-9","ISSN":"15734803","abstract":"Well-reacted geopolymers with good compressive strengths (44–58 MPa) were formed from highly alkaline residue from red mud (the residue remaining after extraction of alumina from bauxite by the Bayer Process) without the addition of strength-promoting components, such as fly ash or ground slag, by adjusting the composition to an optimal SiO2/Al2O3 ratio of about 3 with silica fume. The formation of these geopolymers is extremely energy-efficient since thermal dehydroxylation of the red mud is not required. The environment of the Si and Al in the geopolymers was shown by 27Al and 29Si NMR spectroscopy to be consistent with reasonably well-reacted aluminosilicate materials, suggesting that the red mud forms geopolymers by reaction of aluminate and silicate species in a process not dissimilar to that of alkali-activated kaolin. The presence of high concentrations of iron in the red mud principally in the form of hematite did not interfere with geopolymer formation, since it was shown by XRD and Mössbauer spectroscopy to remain largely unaltered and not participate in the reaction. Analogous experiments with bauxite from which red mud is derived by alkali treatment, produce geopolymers of significantly lower strength (up to 28 MPa), suggesting that the action of the alkali during bauxite processing facilitates the formation of the geopolymer binder, possibly by increasing the reactivity of the red mud, as occurs in alkali-treated kaolinite.","author":[{"dropping-particle":"","family":"Hairi","given":"Siti Noor Md","non-dropping-particle":"","parse-names":false,"suffix":""},{"dropping-particle":"","family":"Jameson","given":"Guy N.L.","non-dropping-particle":"","parse-names":false,"suffix":""},{"dropping-particle":"","family":"Rogers","given":"Joanne J.","non-dropping-particle":"","parse-names":false,"suffix":""},{"dropping-particle":"","family":"MacKenzie","given":"Kenneth J.D.","non-dropping-particle":"","parse-names":false,"suffix":""}],"container-title":"Journal of Materials Science","id":"ITEM-1","issue":"23","issued":{"date-parts":[["2015"]]},"page":"7713-7724","publisher":"Springer US","title":"Synthesis and properties of inorganic polymers (geopolymers) derived from Bayer process residue (red mud) and bauxite","type":"article-journal","volume":"50"},"uris":["http://www.mendeley.com/documents/?uuid=a96e72ad-e203-4490-ada4-effe7104350b","http://www.mendeley.com/documents/?uuid=0610983a-cb22-4628-8f0e-63723be08681"]}],"mendeley":{"formattedCitation":"(Hairi et al., 2015)","plainTextFormattedCitation":"(Hairi et al., 2015)","previouslyFormattedCitation":"(Hairi et al., 2015)"},"properties":{"noteIndex":0},"schema":"https://github.com/citation-style-language/schema/raw/master/csl-citation.json"}</w:instrText>
      </w:r>
      <w:r w:rsidRPr="00255475">
        <w:fldChar w:fldCharType="separate"/>
      </w:r>
      <w:r w:rsidRPr="00255475">
        <w:rPr>
          <w:noProof/>
        </w:rPr>
        <w:t>(Hairi et al., 2015)</w:t>
      </w:r>
      <w:r w:rsidRPr="00255475">
        <w:fldChar w:fldCharType="end"/>
      </w:r>
      <w:r w:rsidRPr="00255475">
        <w:t>,</w:t>
      </w:r>
      <w:r>
        <w:t xml:space="preserve"> and</w:t>
      </w:r>
      <w:r w:rsidRPr="00255475">
        <w:t xml:space="preserve"> </w:t>
      </w:r>
      <w:r>
        <w:t>chemo-</w:t>
      </w:r>
      <w:r w:rsidRPr="00255475">
        <w:t>mechanical</w:t>
      </w:r>
      <w:r>
        <w:t xml:space="preserve"> options</w:t>
      </w:r>
      <w:r w:rsidRPr="00255475">
        <w:t xml:space="preserve"> </w:t>
      </w:r>
      <w:r w:rsidRPr="00255475">
        <w:fldChar w:fldCharType="begin" w:fldLock="1"/>
      </w:r>
      <w:r w:rsidR="000E418E">
        <w:instrText>ADDIN CSL_CITATION {"citationItems":[{"id":"ITEM-1","itemData":{"DOI":"10.1617/s11527-016-0967-5","ISBN":"1152701609675","ISSN":"1871-6873","author":[{"dropping-particle":"","family":"Geng","given":"Junjun","non-dropping-particle":"","parse-names":false,"suffix":""},{"dropping-particle":"","family":"Zhou","given":"Min","non-dropping-particle":"","parse-names":false,"suffix":""},{"dropping-particle":"","family":"Zhang","given":"Ting","non-dropping-particle":"","parse-names":false,"suffix":""},{"dropping-particle":"","family":"Wang","given":"Weixing","non-dropping-particle":"","parse-names":false,"suffix":""},{"dropping-particle":"","family":"Wang","given":"Teng","non-dropping-particle":"","parse-names":false,"suffix":""},{"dropping-particle":"","family":"Zhou","given":"Xian","non-dropping-particle":"","parse-names":false,"suffix":""},{"dropping-particle":"","family":"Wang","given":"Xiaoshu","non-dropping-particle":"","parse-names":false,"suffix":""},{"dropping-particle":"","family":"Hou","given":"Haobo","non-dropping-particle":"","parse-names":false,"suffix":""},{"dropping-particle":"","family":"Red","given":"Preactivation Á","non-dropping-particle":"","parse-names":false,"suffix":""},{"dropping-particle":"","family":"Coal","given":"Á","non-dropping-particle":"","parse-names":false,"suffix":""}],"container-title":"Materials and Structures","id":"ITEM-1","issue":"2","issued":{"date-parts":[["2017"]]},"page":"1-11","publisher":"Springer Netherlands","title":"Preparation of blended geopolymer from red mud and coal gangue with mechanical co-grinding preactivation","type":"article-journal","volume":"50"},"uris":["http://www.mendeley.com/documents/?uuid=32e5f318-9a9d-4748-bcf0-865c290a6339","http://www.mendeley.com/documents/?uuid=1b842ade-7e0a-4f85-8ebb-f61d0b61f979"]}],"mendeley":{"formattedCitation":"(Geng et al., 2017)","plainTextFormattedCitation":"(Geng et al., 2017)","previouslyFormattedCitation":"(Geng et al., 2017)"},"properties":{"noteIndex":0},"schema":"https://github.com/citation-style-language/schema/raw/master/csl-citation.json"}</w:instrText>
      </w:r>
      <w:r w:rsidRPr="00255475">
        <w:fldChar w:fldCharType="separate"/>
      </w:r>
      <w:r w:rsidRPr="00255475">
        <w:rPr>
          <w:noProof/>
        </w:rPr>
        <w:t>(Geng et al., 2017)</w:t>
      </w:r>
      <w:r w:rsidRPr="00255475">
        <w:fldChar w:fldCharType="end"/>
      </w:r>
      <w:r w:rsidRPr="00255475">
        <w:t xml:space="preserve"> or a combination thereof</w:t>
      </w:r>
      <w:r>
        <w:t xml:space="preserve">. </w:t>
      </w:r>
      <w:r w:rsidRPr="00255475">
        <w:t>These works conclude that the reactivity of BR can be increased by such adaptations.</w:t>
      </w:r>
      <w:r>
        <w:t xml:space="preserve"> </w:t>
      </w:r>
    </w:p>
    <w:p w14:paraId="6A0FCD5C" w14:textId="58E8E224" w:rsidR="00894BFE" w:rsidRDefault="00F00DD8" w:rsidP="00266E49">
      <w:r>
        <w:t>Inspired by the promising work on inorganic polymers synthesised from other industrial residues with a similar chemistry to BR</w:t>
      </w:r>
      <w:r w:rsidRPr="00844384">
        <w:t xml:space="preserve">, </w:t>
      </w:r>
      <w:r>
        <w:t>such as</w:t>
      </w:r>
      <w:r w:rsidRPr="00844384">
        <w:t xml:space="preserve"> Cu </w:t>
      </w:r>
      <w:r w:rsidRPr="00844384">
        <w:fldChar w:fldCharType="begin" w:fldLock="1"/>
      </w:r>
      <w:r w:rsidR="000E418E">
        <w:instrText>ADDIN CSL_CITATION {"citationItems":[{"id":"ITEM-1","itemData":{"DOI":"10.1111/jace.13548","ISBN":"0002-7820","ISSN":"15512916","abstract":"Three types of binders were investigated by combining a water granulated fayalite slag and three different activating solutions (NaOH, SH; Na-silicate, SS; and a 1:1 mixture of the two, SH + SS). A reactivity test proved that the slag dissolves in the alkaline environment, releasing both Si and Al. Through rheological measurements it was found that the most alkaline solution (SH) led to a very fast structure build-up, followed by the activating solution SS+SH; when SS was used, the storage modulus did not increase even after 2 h. A similar trend was observed by calorimetry, where the paste with SH resulted in heat release within minutes, followed by SH + SS. These transformations were also followed by in situ ATR-FTIR, indicating changes in the vibrational bands attributed to asymmetric stretching vibration of [SiO4] with 3 or 4 NBO/Si. In the case of the sample activated with SH, a new band appeared after 96 h and continued to increase in intensity at later times. For SS + SH activating solution, a new band appeared after 96 h, increasing over time, whereas the originally present band at 940 cm−1 became more distinct. For the sample with only SS, no vibrational changes were detected after 24 h. In conclusion, the fayalite slag is a reactive material that can undergo microstructural changes toward new reaction products, with the choice of the activating solution being a crucial factor in the process.","author":[{"dropping-particle":"","family":"Onisei","given":"Silviana","non-dropping-particle":"","parse-names":false,"suffix":""},{"dropping-particle":"","family":"Lesage","given":"Karel","non-dropping-particle":"","parse-names":false,"suffix":""},{"dropping-particle":"","family":"Blanpain","given":"Bart","non-dropping-particle":"","parse-names":false,"suffix":""},{"dropping-particle":"","family":"Pontikes","given":"Yiannis","non-dropping-particle":"","parse-names":false,"suffix":""}],"container-title":"Journal of the American Ceramic Society","id":"ITEM-1","issue":"7","issued":{"date-parts":[["2015"]]},"page":"2269-2277","title":"Early Age Microstructural Transformations of an Inorganic Polymer Made of Fayalite Slag","type":"article-journal","volume":"98"},"uris":["http://www.mendeley.com/documents/?uuid=578cb591-3bba-4949-be56-ffad98e24637","http://www.mendeley.com/documents/?uuid=397a7f1a-7e5a-4046-9687-f9e71485db59"]}],"mendeley":{"formattedCitation":"(Onisei et al., 2015)","plainTextFormattedCitation":"(Onisei et al., 2015)","previouslyFormattedCitation":"(Onisei et al., 2015)"},"properties":{"noteIndex":0},"schema":"https://github.com/citation-style-language/schema/raw/master/csl-citation.json"}</w:instrText>
      </w:r>
      <w:r w:rsidRPr="00844384">
        <w:fldChar w:fldCharType="separate"/>
      </w:r>
      <w:r w:rsidRPr="00844384">
        <w:rPr>
          <w:noProof/>
        </w:rPr>
        <w:t>(Onisei et al., 2015)</w:t>
      </w:r>
      <w:r w:rsidRPr="00844384">
        <w:fldChar w:fldCharType="end"/>
      </w:r>
      <w:r>
        <w:t xml:space="preserve">, </w:t>
      </w:r>
      <w:proofErr w:type="spellStart"/>
      <w:r>
        <w:t>CuNi</w:t>
      </w:r>
      <w:proofErr w:type="spellEnd"/>
      <w:r>
        <w:t xml:space="preserve"> </w:t>
      </w:r>
      <w:r>
        <w:fldChar w:fldCharType="begin" w:fldLock="1"/>
      </w:r>
      <w:r w:rsidR="000E418E">
        <w:instrText>ADDIN CSL_CITATION {"citationItems":[{"id":"ITEM-1","itemData":{"DOI":"10.1016/j.minpro.2012.05.001","ISSN":"03017516","author":[{"dropping-particle":"","family":"Kalinkin","given":"A.M.","non-dropping-particle":"","parse-names":false,"suffix":""},{"dropping-particle":"","family":"Kumar","given":"Sanjay","non-dropping-particle":"","parse-names":false,"suffix":""},{"dropping-particle":"","family":"Gurevich","given":"B.I.","non-dropping-particle":"","parse-names":false,"suffix":""},{"dropping-particle":"","family":"Alex","given":"T.C.","non-dropping-particle":"","parse-names":false,"suffix":""},{"dropping-particle":"","family":"Kalinkina","given":"E.V.","non-dropping-particle":"","parse-names":false,"suffix":""},{"dropping-particle":"","family":"Tyukavkina","given":"V.V.","non-dropping-particle":"","parse-names":false,"suffix":""},{"dropping-particle":"","family":"Kalinnikov","given":"V.T.","non-dropping-particle":"","parse-names":false,"suffix":""},{"dropping-particle":"","family":"Kumar","given":"Rakesh","non-dropping-particle":"","parse-names":false,"suffix":""}],"container-title":"International Journal of Mineral Processing","id":"ITEM-1","issued":{"date-parts":[["2012","9"]]},"page":"101-106","title":"Geopolymerization behavior of Cu–Ni slag mechanically activated in air and in CO2 atmosphere","type":"article-journal","volume":"112-113"},"uris":["http://www.mendeley.com/documents/?uuid=027a0c2f-b297-369e-8b7e-e43c88875802","http://www.mendeley.com/documents/?uuid=2979fec8-f385-4685-9a1f-9cec020c7d98"]}],"mendeley":{"formattedCitation":"(Kalinkin et al., 2012)","plainTextFormattedCitation":"(Kalinkin et al., 2012)","previouslyFormattedCitation":"(Kalinkin et al., 2012)"},"properties":{"noteIndex":0},"schema":"https://github.com/citation-style-language/schema/raw/master/csl-citation.json"}</w:instrText>
      </w:r>
      <w:r>
        <w:fldChar w:fldCharType="separate"/>
      </w:r>
      <w:r w:rsidRPr="00BB62A5">
        <w:rPr>
          <w:noProof/>
        </w:rPr>
        <w:t>(Kalinkin et al., 2012)</w:t>
      </w:r>
      <w:r>
        <w:fldChar w:fldCharType="end"/>
      </w:r>
      <w:r>
        <w:t xml:space="preserve">, </w:t>
      </w:r>
      <w:proofErr w:type="spellStart"/>
      <w:r>
        <w:t>Pb</w:t>
      </w:r>
      <w:proofErr w:type="spellEnd"/>
      <w:r>
        <w:t xml:space="preserve"> </w:t>
      </w:r>
      <w:r>
        <w:fldChar w:fldCharType="begin" w:fldLock="1"/>
      </w:r>
      <w:r w:rsidR="000E418E">
        <w:instrText>ADDIN CSL_CITATION {"citationItems":[{"id":"ITEM-1","itemData":{"DOI":"10.1016/j.jhazmat.2011.12.039","ISBN":"0304-3894","ISSN":"03043894","PMID":"22252096","abstract":"The present work reports on the synthesis and properties of inorganic polymers (\" geopolymers\" ) made of 100% fly ash from lignite's combustion, 100% primary lead slag and mixtures of the two. In the inorganic polymers with both fly ash and lead slag the main crystalline phases detected are wüstite, magnetite, sodium zinc silicate, quartz, anorthite, and gehlenite; litharge partially dissolves. FTIR analysis in these samples revealed that the main peaks and bands of end members also exist, along with a new amorphous reaction product. In terms of microstructure, both fly ash and lead slag dissolve and contribute in the binding phase whereas the larger particles act as aggregates. For an increasing lead slag in the composition, the binding phase is changing in chemistry and reaches PbO values higher than 50. wt.% for the 100% lead slag inorganic polymer. Regarding the properties of fly ash and lead slag inorganic polymers, compressive strength is higher than 35. MPa in all cases and water absorption diminishes as the lead slag content increases. A comparison of leaching results before and after polymerisation reveals that pH is an important factor as Pb is immobilised in the binding phase, unlike Zn and As. © 2011 Elsevier B.V.","author":[{"dropping-particle":"","family":"Onisei","given":"S.","non-dropping-particle":"","parse-names":false,"suffix":""},{"dropping-particle":"","family":"Pontikes","given":"Y.","non-dropping-particle":"","parse-names":false,"suffix":""},{"dropping-particle":"","family":"Gerven","given":"T.","non-dropping-particle":"Van","parse-names":false,"suffix":""},{"dropping-particle":"","family":"Angelopoulos","given":"G. N.","non-dropping-particle":"","parse-names":false,"suffix":""},{"dropping-particle":"","family":"Velea","given":"T.","non-dropping-particle":"","parse-names":false,"suffix":""},{"dropping-particle":"","family":"Predica","given":"V.","non-dropping-particle":"","parse-names":false,"suffix":""},{"dropping-particle":"","family":"Moldovan","given":"P.","non-dropping-particle":"","parse-names":false,"suffix":""}],"container-title":"Journal of Hazardous Materials","id":"ITEM-1","issued":{"date-parts":[["2012"]]},"page":"101-110","publisher":"Elsevier B.V.","title":"Synthesis of inorganic polymers using fly ash and primary lead slag","type":"article-journal","volume":"205-206"},"uris":["http://www.mendeley.com/documents/?uuid=70154b0a-0b63-4032-9009-6231dc4a2b49","http://www.mendeley.com/documents/?uuid=fafcad20-0124-4a40-bf6b-cdfa1f4b34f1"]}],"mendeley":{"formattedCitation":"(Onisei et al., 2012)","plainTextFormattedCitation":"(Onisei et al., 2012)","previouslyFormattedCitation":"(Onisei et al., 2012)"},"properties":{"noteIndex":0},"schema":"https://github.com/citation-style-language/schema/raw/master/csl-citation.json"}</w:instrText>
      </w:r>
      <w:r>
        <w:fldChar w:fldCharType="separate"/>
      </w:r>
      <w:r w:rsidRPr="00BB62A5">
        <w:rPr>
          <w:noProof/>
        </w:rPr>
        <w:t>(Onisei et al., 2012)</w:t>
      </w:r>
      <w:r>
        <w:fldChar w:fldCharType="end"/>
      </w:r>
      <w:r>
        <w:t xml:space="preserve"> or </w:t>
      </w:r>
      <w:proofErr w:type="spellStart"/>
      <w:r>
        <w:t>FeNi</w:t>
      </w:r>
      <w:proofErr w:type="spellEnd"/>
      <w:r>
        <w:t xml:space="preserve"> slag </w:t>
      </w:r>
      <w:r>
        <w:fldChar w:fldCharType="begin" w:fldLock="1"/>
      </w:r>
      <w:r w:rsidR="000E418E">
        <w:instrText>ADDIN CSL_CITATION {"citationItems":[{"id":"ITEM-1","itemData":{"ISSN":"11084006","abstract":"This paper deals with the geopolymerization of the red mud generated in the primary aluminium production and the slag generated in the ferronickel production, in order to develop inorganic polymeric materials with advanced mechanical and physical properties. In particular, the effect of the main synthesis parameters of the inorganic polymeric materials on their mechanical strength and water absorption was investigated. Moreover, the structure of the inorganic polymeric materials was studied according to X-ray Diffraction analysis, Fourier Transform Infra Red spectroscopy and Scanning Electronic Microscopy. The inorganic polymeric materials produced by the geopolymerization of the red mud developed compressive strength up to 21 MPa and presented water absorption lower than 3 %, while the geopolymerization of the ferronickel slag resulted in materials with compressive strength higher than 110 MPa and extremely low water absorption (&lt; 1 %). According to these results, the developed materials may be viewed as alternatives in the industrial sectors of construction and building materials.     References *EUR UN. OFF J EUR COMMUNITIE. 1996. 257.  BAKHAREV, T. CEMENT CONCRETE RES. 2005. 35. 1224.  BANKOWSKI, P. J HAZARD MATER. 2004. 114. 59.  CHENG, TW. MINER ENG. 2003. 16. 205.  CHINDAPRASIRT, P. WASTE MANAGE. 2008. 29. 539.  DAVIDOVITS, J. P 2 GEOP INT C SAINT. 1999. 9.  FERNANDEZJIMENEZ, A. CEMENT CONCRETE RES. 2005. 35. 1984.  GIANNOPOULOU, I. P 1 PANH C BUILD MAT. 2008. 1733.  KOMNITSAS, K. J HAZARD MATER. 2008. 161. 760.  LEE, WKW. COLLOID SURFACE A. 2002. 211. 49.  MARAGKOS, I. MINER ENG. 2008. 22. 196.  PALOMO, A. CEMENT CONCRETE RES. 1999. 29. 1323.  PANIAS, D. COLLOID SURFACE A. 2007. 301. 246.  SWANEPOEL, JC. APPL GEOCHEM. 2002. 17. 1143.  VANJAARSVELD, JGS. CHEM ENG J. 2002. 89. 63.  VANJAARSVELD, JGS. MINER ENG. 1999. 12. 75.  XU, JZ. MATER LETT. 2006. 60. 820.","author":[{"dropping-particle":"","family":"Giannopoulou","given":"I","non-dropping-particle":"","parse-names":false,"suffix":""},{"dropping-particle":"","family":"Dimas","given":"D","non-dropping-particle":"","parse-names":false,"suffix":""},{"dropping-particle":"","family":"Maragkos","given":"I","non-dropping-particle":"","parse-names":false,"suffix":""},{"dropping-particle":"","family":"Panias","given":"D","non-dropping-particle":"","parse-names":false,"suffix":""}],"container-title":"Global Nest Journal","id":"ITEM-1","issue":"2","issued":{"date-parts":[["2009"]]},"page":"127-136","title":"Utilization of Metallurgical Solid By-Products for the Development of Inorganic Polymeric Construction Materials","type":"article-journal","volume":"11"},"uris":["http://www.mendeley.com/documents/?uuid=0b59f6e9-3465-4881-b2af-bbf9a9db1afc","http://www.mendeley.com/documents/?uuid=77b4a3cc-9e8b-4a19-8454-de9e7cd90eeb"]},{"id":"ITEM-2","itemData":{"DOI":"10.1007/s10853-006-0529-2","ISBN":"0022-2461","ISSN":"00222461","abstract":"The present experimental study investigates the feasibility of geopolymer synthesis from low Ca electric arc ferronickel slags. Additives used include kaolinite, sodium silicate, sodium hydroxide and water. The effect of the main factors considered (heating temperature, heating time and aging period) as well as of their interactions on the final compressive strength of the geopolymers produced was studied through a 2(3) factorial design. The experimental results and the variance analysis have shown that only aging period has a statistically very significant and positive effect on the final compressive strength while the effect of the other factors as well as of their interactions were either less significant or negligible. Identification of new phases formed in order to elucidate geopolymerisation mechanisms was carried out by XRD and FTIR. Sodalite, maghemite, thermonatrite, trona and calcite are the major phases identified. The structural integrity of the produced geopolymers was studied by subjecting them to accelerated freeze-thaw cycles. Finally, the durability of the produced geopolymers when immersed in various aquatic and acidic solutions was investigated.","author":[{"dropping-particle":"","family":"Komnitsas","given":"K.","non-dropping-particle":"","parse-names":false,"suffix":""},{"dropping-particle":"","family":"Zaharaki","given":"D.","non-dropping-particle":"","parse-names":false,"suffix":""},{"dropping-particle":"","family":"Perdikatsis","given":"V.","non-dropping-particle":"","parse-names":false,"suffix":""}],"container-title":"Journal of Materials Science","id":"ITEM-2","issue":"9","issued":{"date-parts":[["2007"]]},"page":"3073-3082","title":"Geopolymerisation of low calcium ferronickel slags","type":"article-journal","volume":"42"},"uris":["http://www.mendeley.com/documents/?uuid=061037ae-8baa-4f84-9ee2-b65dabb4bac5","http://www.mendeley.com/documents/?uuid=3d4ea9a2-d0bc-4532-b39c-d3661080c1a3"]},{"id":"ITEM-3","itemData":{"DOI":"10.1007/s12649-013-9278-z","ISSN":"1877265X","abstract":"Protection against fire for reinforced concrete constructions is of great importance worldwide. There is a general perception that concrete structures are incombustible and thus, they have good fire-resistance properties. In a real fire incident, however, concrete can be subjected to excess temperatures causing severe spalling and serious damage to concrete structures with significant economic cost and high potential risk to human life safety. Although a variety of fire-protection methods exist, there is always a need for the development of new materials with improved thermophysical properties and low cost. Inorganic polymeric materials are promising from this point of view. They are incombustible, combining excellent physical, chemical, mechanical and thermal properties with low production cost and significant environmental benefits. In this work, the thermophysical properties of ferronickel slag-based inorganic polymeric materials are studied. The results from the laboratory scale experiments are promising and indicative of the large-scale behavior of material. The effectiveness of this material has to be proved in large-scale experiments at higher temperatures simulating several severe fire scenarios as well as under all kinds of mechanical loading before concluding for its applicability as a fire protection system. © 2012 John Wiley &amp; Sons, Ltd.","author":[{"dropping-particle":"","family":"Sakkas","given":"Konstantinos","non-dropping-particle":"","parse-names":false,"suffix":""},{"dropping-particle":"","family":"Nomikos","given":"Pavlos","non-dropping-particle":"","parse-names":false,"suffix":""},{"dropping-particle":"","family":"Sofianos","given":"Alexandros","non-dropping-particle":"","parse-names":false,"suffix":""},{"dropping-particle":"","family":"Panias","given":"Dimitrios","non-dropping-particle":"","parse-names":false,"suffix":""}],"container-title":"Waste and Biomass Valorization","id":"ITEM-3","issue":"3","issued":{"date-parts":[["2014"]]},"page":"403-410","title":"Utilisation of FeNi-Slag for the production of inorganic polymeric materials for construction or for passive fire protection","type":"article-journal","volume":"5"},"uris":["http://www.mendeley.com/documents/?uuid=c6f024ce-36ac-4073-b1c1-706bad1704c2"]}],"mendeley":{"formattedCitation":"(Giannopoulou et al., 2009; Komnitsas et al., 2007; Sakkas et al., 2014)","plainTextFormattedCitation":"(Giannopoulou et al., 2009; Komnitsas et al., 2007; Sakkas et al., 2014)","previouslyFormattedCitation":"(Giannopoulou et al., 2009; Komnitsas et al., 2007; Sakkas et al., 2014)"},"properties":{"noteIndex":0},"schema":"https://github.com/citation-style-language/schema/raw/master/csl-citation.json"}</w:instrText>
      </w:r>
      <w:r>
        <w:fldChar w:fldCharType="separate"/>
      </w:r>
      <w:r w:rsidRPr="00762602">
        <w:rPr>
          <w:noProof/>
          <w:lang w:val="nl-BE"/>
        </w:rPr>
        <w:t>(Giannopoulou et al., 2009; Komnitsas et al., 2007; Sakkas et al., 2014)</w:t>
      </w:r>
      <w:r>
        <w:fldChar w:fldCharType="end"/>
      </w:r>
      <w:r w:rsidRPr="00762602">
        <w:rPr>
          <w:lang w:val="nl-BE"/>
        </w:rPr>
        <w:t xml:space="preserve">, Hertel et al. </w:t>
      </w:r>
      <w:r w:rsidRPr="00807758">
        <w:fldChar w:fldCharType="begin" w:fldLock="1"/>
      </w:r>
      <w:r w:rsidR="000E418E">
        <w:rPr>
          <w:lang w:val="nl-BE"/>
        </w:rPr>
        <w:instrText>ADDIN CSL_CITATION {"citationItems":[{"id":"ITEM-1","itemData":{"DOI":"10.1007/s40831-016-0080-6","ISSN":"2199-3823","author":[{"dropping-particle":"","family":"Hertel","given":"Tobias","non-dropping-particle":"","parse-names":false,"suffix":""},{"dropping-particle":"","family":"Blanpain","given":"Bart","non-dropping-particle":"","parse-names":false,"suffix":""},{"dropping-particle":"","family":"Pontikes","given":"Yiannis","non-dropping-particle":"","parse-names":false,"suffix":""}],"container-title":"Journal of Sustainable Metallurgy","id":"ITEM-1","issue":"4","issued":{"date-parts":[["2016"]]},"page":"394-404","publisher":"Springer International Publishing","title":"A Proposal for a 100 % Use of Bauxite Residue Towards Inorganic Polymer Mortar","type":"article-journal","volume":"2"},"suppress-author":1,"uris":["http://www.mendeley.com/documents/?uuid=df84e3ec-0686-451e-8049-bb0d0c87e022"]}],"mendeley":{"formattedCitation":"(2016)","plainTextFormattedCitation":"(2016)","previouslyFormattedCitation":"(2016)"},"properties":{"noteIndex":0},"schema":"https://github.com/citation-style-language/schema/raw/master/csl-citation.json"}</w:instrText>
      </w:r>
      <w:r w:rsidRPr="00807758">
        <w:fldChar w:fldCharType="separate"/>
      </w:r>
      <w:r w:rsidRPr="00D26AAE">
        <w:rPr>
          <w:noProof/>
        </w:rPr>
        <w:t>(2016)</w:t>
      </w:r>
      <w:r w:rsidRPr="00807758">
        <w:fldChar w:fldCharType="end"/>
      </w:r>
      <w:r>
        <w:t xml:space="preserve"> suggested a high temperature (1100 °C) transformation of BR into a reactive slag. The major differences between BR and the </w:t>
      </w:r>
      <w:r w:rsidR="00894BFE">
        <w:t>a</w:t>
      </w:r>
      <w:r>
        <w:t>forementioned industrial slags are the valence of Fe</w:t>
      </w:r>
      <w:r w:rsidRPr="00F9715F">
        <w:t xml:space="preserve"> </w:t>
      </w:r>
      <w:r>
        <w:t xml:space="preserve">(bivalent in the industrial slags </w:t>
      </w:r>
      <w:r w:rsidRPr="0068174D">
        <w:t>vs. trivalent</w:t>
      </w:r>
      <w:r>
        <w:t xml:space="preserve"> in BR) and the mineralogy</w:t>
      </w:r>
      <w:r w:rsidRPr="00844384">
        <w:t>.</w:t>
      </w:r>
      <w:r>
        <w:t xml:space="preserve"> While BR is mainly crystalline, the reactive slags are predominantly amorphous. Results of t</w:t>
      </w:r>
      <w:r w:rsidRPr="00844384">
        <w:t xml:space="preserve">hermodynamic calculations </w:t>
      </w:r>
      <w:r>
        <w:t>(</w:t>
      </w:r>
      <w:r w:rsidRPr="00844384">
        <w:t xml:space="preserve">presented in detail elsewhere </w:t>
      </w:r>
      <w:r>
        <w:fldChar w:fldCharType="begin" w:fldLock="1"/>
      </w:r>
      <w:r w:rsidR="000E418E">
        <w:instrText>ADDIN CSL_CITATION {"citationItems":[{"id":"ITEM-1","itemData":{"DOI":"10.1007/s40831-016-0080-6","ISSN":"2199-3823","author":[{"dropping-particle":"","family":"Hertel","given":"Tobias","non-dropping-particle":"","parse-names":false,"suffix":""},{"dropping-particle":"","family":"Blanpain","given":"Bart","non-dropping-particle":"","parse-names":false,"suffix":""},{"dropping-particle":"","family":"Pontikes","given":"Yiannis","non-dropping-particle":"","parse-names":false,"suffix":""}],"container-title":"Journal of Sustainable Metallurgy","id":"ITEM-1","issue":"4","issued":{"date-parts":[["2016"]]},"page":"394-404","publisher":"Springer International Publishing","title":"A Proposal for a 100 % Use of Bauxite Residue Towards Inorganic Polymer Mortar","type":"article-journal","volume":"2"},"uris":["http://www.mendeley.com/documents/?uuid=df84e3ec-0686-451e-8049-bb0d0c87e022"]}],"mendeley":{"formattedCitation":"(Hertel et al., 2016)","plainTextFormattedCitation":"(Hertel et al., 2016)","previouslyFormattedCitation":"(Hertel et al., 2016)"},"properties":{"noteIndex":0},"schema":"https://github.com/citation-style-language/schema/raw/master/csl-citation.json"}</w:instrText>
      </w:r>
      <w:r>
        <w:fldChar w:fldCharType="separate"/>
      </w:r>
      <w:r w:rsidRPr="00844384">
        <w:rPr>
          <w:noProof/>
        </w:rPr>
        <w:t>(Hertel et al., 2016)</w:t>
      </w:r>
      <w:r>
        <w:fldChar w:fldCharType="end"/>
      </w:r>
      <w:r>
        <w:t>)</w:t>
      </w:r>
      <w:r w:rsidRPr="00844384">
        <w:t xml:space="preserve"> have shown that</w:t>
      </w:r>
      <w:r>
        <w:t xml:space="preserve"> heating BR in the presence of carbon </w:t>
      </w:r>
      <w:r w:rsidRPr="00844384">
        <w:t>lead</w:t>
      </w:r>
      <w:r>
        <w:t>s</w:t>
      </w:r>
      <w:r w:rsidRPr="00844384">
        <w:t xml:space="preserve"> to a transformation of Fe</w:t>
      </w:r>
      <w:r w:rsidRPr="00844384">
        <w:rPr>
          <w:vertAlign w:val="superscript"/>
        </w:rPr>
        <w:t>3+</w:t>
      </w:r>
      <w:r w:rsidRPr="00844384">
        <w:t xml:space="preserve"> to Fe</w:t>
      </w:r>
      <w:r w:rsidRPr="00844384">
        <w:rPr>
          <w:vertAlign w:val="superscript"/>
        </w:rPr>
        <w:t>2+</w:t>
      </w:r>
      <w:r>
        <w:t>and promotes the formation of liquid phase</w:t>
      </w:r>
      <w:r w:rsidRPr="001A7800">
        <w:t xml:space="preserve"> </w:t>
      </w:r>
      <w:r>
        <w:t>at lower temperatures (</w:t>
      </w:r>
      <w:r w:rsidRPr="00844384">
        <w:t>1100 °C</w:t>
      </w:r>
      <w:r>
        <w:t>), while</w:t>
      </w:r>
      <w:r w:rsidRPr="00844384">
        <w:t xml:space="preserve"> </w:t>
      </w:r>
      <w:r>
        <w:t xml:space="preserve">additional </w:t>
      </w:r>
      <w:r w:rsidRPr="00844384">
        <w:t xml:space="preserve">silica </w:t>
      </w:r>
      <w:r>
        <w:t>leads to increased liquid phase formation. Quenching results in a semi-vitreous slag and potentially turns the BR-rich melt into a reactive raw material.</w:t>
      </w:r>
      <w:r w:rsidR="00266E49">
        <w:br w:type="page"/>
      </w:r>
    </w:p>
    <w:p w14:paraId="2334BDC6" w14:textId="77777777" w:rsidR="00F00DD8" w:rsidRDefault="00F00DD8" w:rsidP="00F9715F">
      <w:pPr>
        <w:pStyle w:val="Heading1"/>
      </w:pPr>
      <w:r>
        <w:lastRenderedPageBreak/>
        <w:t>Materials and Methods</w:t>
      </w:r>
    </w:p>
    <w:p w14:paraId="396113DF" w14:textId="288A787C" w:rsidR="00F00DD8" w:rsidRDefault="00F00DD8" w:rsidP="00566057">
      <w:pPr>
        <w:pStyle w:val="Heading2"/>
      </w:pPr>
      <w:bookmarkStart w:id="2" w:name="_Ref495062432"/>
      <w:r>
        <w:t>Overview of High BR Inorganic Polymer production</w:t>
      </w:r>
      <w:bookmarkEnd w:id="2"/>
    </w:p>
    <w:p w14:paraId="5C441BAA" w14:textId="3CA67A56" w:rsidR="00F00DD8" w:rsidRDefault="0033475F" w:rsidP="00894BFE">
      <w:r>
        <w:rPr>
          <w:noProof/>
          <w:lang w:eastAsia="en-GB"/>
        </w:rPr>
        <w:drawing>
          <wp:anchor distT="0" distB="0" distL="114300" distR="114300" simplePos="0" relativeHeight="251658240" behindDoc="0" locked="0" layoutInCell="1" allowOverlap="1" wp14:anchorId="04098F8F" wp14:editId="2C949C56">
            <wp:simplePos x="0" y="0"/>
            <wp:positionH relativeFrom="column">
              <wp:posOffset>2780030</wp:posOffset>
            </wp:positionH>
            <wp:positionV relativeFrom="paragraph">
              <wp:posOffset>45720</wp:posOffset>
            </wp:positionV>
            <wp:extent cx="3165475" cy="3086100"/>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5475" cy="3086100"/>
                    </a:xfrm>
                    <a:prstGeom prst="rect">
                      <a:avLst/>
                    </a:prstGeom>
                    <a:noFill/>
                  </pic:spPr>
                </pic:pic>
              </a:graphicData>
            </a:graphic>
            <wp14:sizeRelH relativeFrom="page">
              <wp14:pctWidth>0</wp14:pctWidth>
            </wp14:sizeRelH>
            <wp14:sizeRelV relativeFrom="page">
              <wp14:pctHeight>0</wp14:pctHeight>
            </wp14:sizeRelV>
          </wp:anchor>
        </w:drawing>
      </w:r>
      <w:r w:rsidR="00F00DD8">
        <w:t xml:space="preserve">A simplified outline of the generalised process to produce IPs from BR is shown in </w:t>
      </w:r>
      <w:r w:rsidR="00F00DD8">
        <w:fldChar w:fldCharType="begin"/>
      </w:r>
      <w:r w:rsidR="00F00DD8">
        <w:instrText xml:space="preserve"> REF _Ref495058837 \h </w:instrText>
      </w:r>
      <w:r w:rsidR="00F00DD8">
        <w:fldChar w:fldCharType="separate"/>
      </w:r>
      <w:r w:rsidR="002B1423">
        <w:t xml:space="preserve">Figure </w:t>
      </w:r>
      <w:r w:rsidR="002B1423">
        <w:rPr>
          <w:noProof/>
        </w:rPr>
        <w:t>2</w:t>
      </w:r>
      <w:r w:rsidR="00F00DD8">
        <w:fldChar w:fldCharType="end"/>
      </w:r>
      <w:r w:rsidR="00F00DD8">
        <w:t xml:space="preserve">. BR is mixed with a carbon source and a silica source. The resulting precursor mix is then fired at a temperature between 1,100°C and 1,450°C. Following firing, the temperature of the precursor is rapidly decreased via air or water quenching. The fired precursor is then milled to a powder. Activating solution is prepared by diluting either potassium silicate (K-silicate) or sodium silicate (Na-silicate) with water. Mixing the precursor powder with the activating solution yields a paste which can then be moulded into blocks. These blocks can optionally be pressed prior to curing. Curing takes place at an elevated temperature (60°C) for 72 hours. The cured blocks can be used </w:t>
      </w:r>
      <w:r w:rsidR="00894BFE">
        <w:t>as</w:t>
      </w:r>
      <w:r w:rsidR="00F00DD8">
        <w:t xml:space="preserve"> block paving.</w:t>
      </w:r>
    </w:p>
    <w:p w14:paraId="3BE637CD" w14:textId="56FE5D13" w:rsidR="00F00DD8" w:rsidRPr="00255475" w:rsidRDefault="00F00DD8" w:rsidP="00566057">
      <w:pPr>
        <w:pStyle w:val="Caption"/>
        <w:jc w:val="right"/>
      </w:pPr>
      <w:bookmarkStart w:id="3" w:name="_Ref495058837"/>
      <w:bookmarkStart w:id="4" w:name="_Ref495058831"/>
      <w:r>
        <w:t xml:space="preserve">Figure </w:t>
      </w:r>
      <w:r>
        <w:fldChar w:fldCharType="begin"/>
      </w:r>
      <w:r>
        <w:instrText xml:space="preserve"> SEQ Figure \* ARABIC </w:instrText>
      </w:r>
      <w:r>
        <w:fldChar w:fldCharType="separate"/>
      </w:r>
      <w:r w:rsidR="002B1423">
        <w:rPr>
          <w:noProof/>
        </w:rPr>
        <w:t>2</w:t>
      </w:r>
      <w:r>
        <w:fldChar w:fldCharType="end"/>
      </w:r>
      <w:bookmarkEnd w:id="3"/>
      <w:r>
        <w:t xml:space="preserve"> Generalised process for high BR Inorganic Polymer production</w:t>
      </w:r>
      <w:bookmarkEnd w:id="4"/>
    </w:p>
    <w:p w14:paraId="09F794A9" w14:textId="77777777" w:rsidR="00F00DD8" w:rsidRDefault="00F00DD8" w:rsidP="00566057">
      <w:pPr>
        <w:pStyle w:val="Heading2"/>
      </w:pPr>
      <w:r>
        <w:t>Modelling approach</w:t>
      </w:r>
    </w:p>
    <w:p w14:paraId="7A0EBB0F" w14:textId="0B1CDDB9" w:rsidR="00F00DD8" w:rsidRDefault="00F00DD8" w:rsidP="00894BFE">
      <w:r>
        <w:t xml:space="preserve">We use an </w:t>
      </w:r>
      <w:r>
        <w:rPr>
          <w:i/>
        </w:rPr>
        <w:t>anticipatory</w:t>
      </w:r>
      <w:r>
        <w:t xml:space="preserve"> </w:t>
      </w:r>
      <w:r w:rsidRPr="00462EE3">
        <w:rPr>
          <w:i/>
        </w:rPr>
        <w:t>LCA</w:t>
      </w:r>
      <w:r>
        <w:t xml:space="preserve"> approach to assess the </w:t>
      </w:r>
      <w:r w:rsidR="00D47C13">
        <w:t xml:space="preserve">environmental </w:t>
      </w:r>
      <w:r>
        <w:t xml:space="preserve">aspects of the high BR inorganic polymer building materials being developed. The ethos of anticipatory LCA is to focus on the potential environmental impacts which may result from possible changes to the system resulting from R&amp;D decisions </w:t>
      </w:r>
      <w:r>
        <w:fldChar w:fldCharType="begin" w:fldLock="1"/>
      </w:r>
      <w:r w:rsidR="000E418E">
        <w:instrText>ADDIN CSL_CITATION {"citationItems":[{"id":"ITEM-1","itemData":{"DOI":"10.1017/CBO9781107415324.004","ISBN":"9788578110796","ISSN":"1098-6596","PMID":"25246403","abstract":"The goal of guiding innovation toward beneficial social and environmental outcomes - referred to in the growing literature as responsible research and innovation (RRI) - is intuitively worthwhile but lacks practicable tools for implementation. One potentially useful tool is life-cycle assessment (LCA), which is a comprehensive framework used to evaluate the environmental impacts of products, processes, and technologies. However, LCA ineffectively promotes RRI for at least two reasons: (1) Codified approaches to LCA are largely retrospective, relying heavily on data collected from mature industries with existing supply chains and (2) LCA underemphasizces the importance of stakeholder engagement to inform critical modeling decisions which diminishes the social credibility and relevance of results. LCA researchers have made piecemeal advances that address these shortcomings, yet there is no consensus regarding how to advance LCA to support RRI of emerging technologies. This paper advocates for development of anticipatory LCA as non-predictive and inclusive of uncertainty, which can be used to explore both reasonable and extreme-case scenarios of future environmental burdens associated with an emerging technology. By identifying the most relevant uncertainties and engaging research and development decision-makers, such anticipatory methods can generate alternative research agenda and provide a practicable tool to promote environmental RRI.","author":[{"dropping-particle":"","family":"Wender","given":"Ben A.","non-dropping-particle":"","parse-names":false,"suffix":""},{"dropping-particle":"","family":"Foley","given":"Rider W.","non-dropping-particle":"","parse-names":false,"suffix":""},{"dropping-particle":"","family":"Hottle","given":"Troy A.","non-dropping-particle":"","parse-names":false,"suffix":""},{"dropping-particle":"","family":"Sadowski","given":"Jathan","non-dropping-particle":"","parse-names":false,"suffix":""},{"dropping-particle":"","family":"Prado-López","given":"Valentina","non-dropping-particle":"","parse-names":false,"suffix":""},{"dropping-particle":"","family":"Eisenberg","given":"Daniel A.","non-dropping-particle":"","parse-names":false,"suffix":""},{"dropping-particle":"","family":"Laurin","given":"Lise","non-dropping-particle":"","parse-names":false,"suffix":""},{"dropping-particle":"","family":"Seager","given":"Thomas P.","non-dropping-particle":"","parse-names":false,"suffix":""}],"container-title":"Journal of Responsible Innovation","id":"ITEM-1","issue":"2","issued":{"date-parts":[["2014"]]},"page":"200-207","publisher":"Taylor &amp; Francis","title":"Anticipatory life-cycle assessment for responsible research and innovation","type":"article-journal","volume":"1"},"uris":["http://www.mendeley.com/documents/?uuid=e81a3b5c-9df2-4840-8478-c73301c6f5ea"]}],"mendeley":{"formattedCitation":"(Wender et al., 2014)","plainTextFormattedCitation":"(Wender et al., 2014)","previouslyFormattedCitation":"(Wender et al., 2014)"},"properties":{"noteIndex":0},"schema":"https://github.com/citation-style-language/schema/raw/master/csl-citation.json"}</w:instrText>
      </w:r>
      <w:r>
        <w:fldChar w:fldCharType="separate"/>
      </w:r>
      <w:r w:rsidRPr="00462EE3">
        <w:rPr>
          <w:noProof/>
        </w:rPr>
        <w:t>(Wender et al., 2014)</w:t>
      </w:r>
      <w:r>
        <w:fldChar w:fldCharType="end"/>
      </w:r>
      <w:r>
        <w:t xml:space="preserve">. Anticipatory LCA employs a variety of modelling techniques in order both to deal with the less accurate data sets available, and to focus the modelling on such decisions (ibid.). </w:t>
      </w:r>
    </w:p>
    <w:p w14:paraId="222B19F9" w14:textId="4B07D1E0" w:rsidR="00F00DD8" w:rsidRDefault="00F00DD8" w:rsidP="00894BFE">
      <w:r>
        <w:t xml:space="preserve">The main design variables in the process outlined in section </w:t>
      </w:r>
      <w:r>
        <w:fldChar w:fldCharType="begin"/>
      </w:r>
      <w:r>
        <w:instrText xml:space="preserve"> REF _Ref495062432 \r \h </w:instrText>
      </w:r>
      <w:r>
        <w:fldChar w:fldCharType="separate"/>
      </w:r>
      <w:r w:rsidR="002B1423">
        <w:t>3.1</w:t>
      </w:r>
      <w:r>
        <w:fldChar w:fldCharType="end"/>
      </w:r>
      <w:r>
        <w:t xml:space="preserve"> above which have the potential to be changed in R&amp;D are as follows: the proportions of carbon and silica added to the precursor mix; the temperature of firing; the choice of alkali for the activating solution; the ratio of precursor to activating solution in the paste (the liquid to solid ratio); and whether the blocks are pressed prior to curing</w:t>
      </w:r>
      <w:r w:rsidR="00E16852">
        <w:t xml:space="preserve"> (</w:t>
      </w:r>
      <w:r w:rsidR="00E16852">
        <w:fldChar w:fldCharType="begin"/>
      </w:r>
      <w:r w:rsidR="00E16852">
        <w:instrText xml:space="preserve"> REF _Ref495065978 \h </w:instrText>
      </w:r>
      <w:r w:rsidR="00E16852">
        <w:fldChar w:fldCharType="separate"/>
      </w:r>
      <w:r w:rsidR="002B1423">
        <w:t xml:space="preserve">Table </w:t>
      </w:r>
      <w:r w:rsidR="002B1423">
        <w:rPr>
          <w:noProof/>
        </w:rPr>
        <w:t>1</w:t>
      </w:r>
      <w:r w:rsidR="00E16852">
        <w:fldChar w:fldCharType="end"/>
      </w:r>
      <w:r w:rsidR="00E16852">
        <w:t>)</w:t>
      </w:r>
      <w:r>
        <w:t xml:space="preserve">. </w:t>
      </w:r>
    </w:p>
    <w:p w14:paraId="6A90321B" w14:textId="402F9411" w:rsidR="0033475F" w:rsidRDefault="00F00DD8" w:rsidP="00894BFE">
      <w:r>
        <w:t xml:space="preserve">The most significant constraint of the inorganic polymer system is that the resulting polymer must be able to be used as a building material. First the precursor must </w:t>
      </w:r>
      <w:r w:rsidR="000C5857">
        <w:t>be</w:t>
      </w:r>
      <w:r>
        <w:t xml:space="preserve"> chemically active enough to react with the alkali activating solution, and second the resulting block must have sufficient compressive strength for use in building applications. This cannot currently be modelled </w:t>
      </w:r>
      <w:r w:rsidR="004124EC" w:rsidRPr="004124EC">
        <w:t>via computer simulation</w:t>
      </w:r>
      <w:r>
        <w:t>, therefore samples of six mix designs which had been prepared in the laboratory and in which the key parameters listed above had been varied were used as the basis for this assessment. The samples were prepared using filter pressed bauxite residue from Aluminium of Greece (</w:t>
      </w:r>
      <w:proofErr w:type="spellStart"/>
      <w:r>
        <w:t>AoG</w:t>
      </w:r>
      <w:proofErr w:type="spellEnd"/>
      <w:r>
        <w:t>)</w:t>
      </w:r>
      <w:r w:rsidR="00782495">
        <w:t xml:space="preserve">, derived from </w:t>
      </w:r>
      <w:r w:rsidR="00782495" w:rsidRPr="005814AF">
        <w:rPr>
          <w:rFonts w:cs="Calibri"/>
          <w:color w:val="212121"/>
          <w:lang w:eastAsia="en-GB"/>
        </w:rPr>
        <w:t xml:space="preserve">a mixture of </w:t>
      </w:r>
      <w:proofErr w:type="spellStart"/>
      <w:r w:rsidR="00782495" w:rsidRPr="005814AF">
        <w:rPr>
          <w:rFonts w:cs="Calibri"/>
          <w:color w:val="212121"/>
          <w:lang w:eastAsia="en-GB"/>
        </w:rPr>
        <w:t>Panassos-Ghiona</w:t>
      </w:r>
      <w:proofErr w:type="spellEnd"/>
      <w:r w:rsidR="00782495" w:rsidRPr="005814AF">
        <w:rPr>
          <w:rFonts w:cs="Calibri"/>
          <w:color w:val="212121"/>
          <w:lang w:eastAsia="en-GB"/>
        </w:rPr>
        <w:t xml:space="preserve"> and </w:t>
      </w:r>
      <w:proofErr w:type="spellStart"/>
      <w:r w:rsidR="00782495" w:rsidRPr="005814AF">
        <w:rPr>
          <w:rFonts w:cs="Calibri"/>
          <w:color w:val="212121"/>
          <w:lang w:eastAsia="en-GB"/>
        </w:rPr>
        <w:t>Trombetas</w:t>
      </w:r>
      <w:proofErr w:type="spellEnd"/>
      <w:r w:rsidR="00782495" w:rsidRPr="005814AF">
        <w:rPr>
          <w:rFonts w:cs="Calibri"/>
          <w:color w:val="212121"/>
          <w:lang w:eastAsia="en-GB"/>
        </w:rPr>
        <w:t xml:space="preserve"> bauxites</w:t>
      </w:r>
      <w:r>
        <w:t xml:space="preserve">. The procedure followed to produce these samples is described in Hertel et al. </w:t>
      </w:r>
      <w:r>
        <w:fldChar w:fldCharType="begin" w:fldLock="1"/>
      </w:r>
      <w:r w:rsidR="000E418E">
        <w:instrText>ADDIN CSL_CITATION {"citationItems":[{"id":"ITEM-1","itemData":{"DOI":"10.1007/s40831-016-0080-6","ISSN":"2199-3823","author":[{"dropping-particle":"","family":"Hertel","given":"Tobias","non-dropping-particle":"","parse-names":false,"suffix":""},{"dropping-particle":"","family":"Blanpain","given":"Bart","non-dropping-particle":"","parse-names":false,"suffix":""},{"dropping-particle":"","family":"Pontikes","given":"Yiannis","non-dropping-particle":"","parse-names":false,"suffix":""}],"container-title":"Journal of Sustainable Metallurgy","id":"ITEM-1","issue":"4","issued":{"date-parts":[["2016"]]},"page":"394-404","publisher":"Springer International Publishing","title":"A Proposal for a 100 % Use of Bauxite Residue Towards Inorganic Polymer Mortar","type":"article-journal","volume":"2"},"suppress-author":1,"uris":["http://www.mendeley.com/documents/?uuid=39d46568-a872-40de-9de4-d5401a721766"]}],"mendeley":{"formattedCitation":"(2016)","plainTextFormattedCitation":"(2016)","previouslyFormattedCitation":"(2016)"},"properties":{"noteIndex":0},"schema":"https://github.com/citation-style-language/schema/raw/master/csl-citation.json"}</w:instrText>
      </w:r>
      <w:r>
        <w:fldChar w:fldCharType="separate"/>
      </w:r>
      <w:r w:rsidRPr="009875A7">
        <w:rPr>
          <w:noProof/>
        </w:rPr>
        <w:t>(2016)</w:t>
      </w:r>
      <w:r>
        <w:fldChar w:fldCharType="end"/>
      </w:r>
      <w:r>
        <w:t xml:space="preserve">. Details of the </w:t>
      </w:r>
      <w:r w:rsidR="00E16852">
        <w:t xml:space="preserve">design variables for each of the </w:t>
      </w:r>
      <w:r>
        <w:t xml:space="preserve">six mix designs are presented in </w:t>
      </w:r>
      <w:r>
        <w:fldChar w:fldCharType="begin"/>
      </w:r>
      <w:r>
        <w:instrText xml:space="preserve"> REF _Ref495065978 \h </w:instrText>
      </w:r>
      <w:r>
        <w:fldChar w:fldCharType="separate"/>
      </w:r>
      <w:r w:rsidR="002B1423">
        <w:t xml:space="preserve">Table </w:t>
      </w:r>
      <w:r w:rsidR="002B1423">
        <w:rPr>
          <w:noProof/>
        </w:rPr>
        <w:t>1</w:t>
      </w:r>
      <w:r>
        <w:fldChar w:fldCharType="end"/>
      </w:r>
      <w:r>
        <w:t>. The mix design IDs used in this paper consist of three parts representing the temperature of firing (11 = 1100</w:t>
      </w:r>
      <w:r w:rsidRPr="00252367">
        <w:t>°C</w:t>
      </w:r>
      <w:r>
        <w:t>, 12 = 1200</w:t>
      </w:r>
      <w:r w:rsidRPr="00252367">
        <w:t>°C</w:t>
      </w:r>
      <w:r>
        <w:t>, 14 = 1450</w:t>
      </w:r>
      <w:r w:rsidRPr="00252367">
        <w:t>°C</w:t>
      </w:r>
      <w:r>
        <w:t>), the additions made to the precursor (N = no additions, C = carbon added, CS = carbon and silica added), and the activating solution used (K = K-silicate, Na = Na-silicate).</w:t>
      </w:r>
    </w:p>
    <w:p w14:paraId="651C8EC9" w14:textId="146F73DE" w:rsidR="00F00DD8" w:rsidRDefault="00F00DD8" w:rsidP="009875A7">
      <w:pPr>
        <w:pStyle w:val="Caption"/>
        <w:keepNext/>
      </w:pPr>
      <w:bookmarkStart w:id="5" w:name="_Ref495065978"/>
      <w:bookmarkStart w:id="6" w:name="_Ref495065974"/>
      <w:r>
        <w:lastRenderedPageBreak/>
        <w:t xml:space="preserve">Table </w:t>
      </w:r>
      <w:r>
        <w:fldChar w:fldCharType="begin"/>
      </w:r>
      <w:r>
        <w:instrText xml:space="preserve"> SEQ Table \* ARABIC </w:instrText>
      </w:r>
      <w:r>
        <w:fldChar w:fldCharType="separate"/>
      </w:r>
      <w:r w:rsidR="002B1423">
        <w:rPr>
          <w:noProof/>
        </w:rPr>
        <w:t>1</w:t>
      </w:r>
      <w:r>
        <w:fldChar w:fldCharType="end"/>
      </w:r>
      <w:bookmarkEnd w:id="5"/>
      <w:r>
        <w:t xml:space="preserve"> Details of mix designs prepared according to Hertel et al. </w:t>
      </w:r>
      <w:r>
        <w:fldChar w:fldCharType="begin" w:fldLock="1"/>
      </w:r>
      <w:r w:rsidR="000E418E">
        <w:instrText>ADDIN CSL_CITATION {"citationItems":[{"id":"ITEM-1","itemData":{"DOI":"10.1007/s40831-016-0080-6","ISSN":"2199-3823","author":[{"dropping-particle":"","family":"Hertel","given":"Tobias","non-dropping-particle":"","parse-names":false,"suffix":""},{"dropping-particle":"","family":"Blanpain","given":"Bart","non-dropping-particle":"","parse-names":false,"suffix":""},{"dropping-particle":"","family":"Pontikes","given":"Yiannis","non-dropping-particle":"","parse-names":false,"suffix":""}],"container-title":"Journal of Sustainable Metallurgy","id":"ITEM-1","issue":"4","issued":{"date-parts":[["2016"]]},"page":"394-404","publisher":"Springer International Publishing","title":"A Proposal for a 100 % Use of Bauxite Residue Towards Inorganic Polymer Mortar","type":"article-journal","volume":"2"},"suppress-author":1,"uris":["http://www.mendeley.com/documents/?uuid=39d46568-a872-40de-9de4-d5401a721766"]}],"mendeley":{"formattedCitation":"(2016)","plainTextFormattedCitation":"(2016)","previouslyFormattedCitation":"(2016)"},"properties":{"noteIndex":0},"schema":"https://github.com/citation-style-language/schema/raw/master/csl-citation.json"}</w:instrText>
      </w:r>
      <w:r>
        <w:fldChar w:fldCharType="separate"/>
      </w:r>
      <w:r w:rsidRPr="009875A7">
        <w:rPr>
          <w:b w:val="0"/>
          <w:noProof/>
        </w:rPr>
        <w:t>(2016)</w:t>
      </w:r>
      <w:r>
        <w:fldChar w:fldCharType="end"/>
      </w:r>
      <w:r>
        <w:t xml:space="preserve"> and assessed in this study</w:t>
      </w:r>
      <w:bookmarkEnd w:id="6"/>
    </w:p>
    <w:tbl>
      <w:tblPr>
        <w:tblW w:w="5000" w:type="pct"/>
        <w:tblBorders>
          <w:top w:val="single" w:sz="4" w:space="0" w:color="auto"/>
          <w:bottom w:val="single" w:sz="4" w:space="0" w:color="auto"/>
        </w:tblBorders>
        <w:tblLayout w:type="fixed"/>
        <w:tblLook w:val="00A0" w:firstRow="1" w:lastRow="0" w:firstColumn="1" w:lastColumn="0" w:noHBand="0" w:noVBand="0"/>
      </w:tblPr>
      <w:tblGrid>
        <w:gridCol w:w="1092"/>
        <w:gridCol w:w="808"/>
        <w:gridCol w:w="808"/>
        <w:gridCol w:w="810"/>
        <w:gridCol w:w="1449"/>
        <w:gridCol w:w="1088"/>
        <w:gridCol w:w="1077"/>
        <w:gridCol w:w="1079"/>
        <w:gridCol w:w="1075"/>
      </w:tblGrid>
      <w:tr w:rsidR="00F00DD8" w:rsidRPr="0033475F" w14:paraId="215E2343" w14:textId="77777777" w:rsidTr="004124EC">
        <w:trPr>
          <w:trHeight w:val="220"/>
        </w:trPr>
        <w:tc>
          <w:tcPr>
            <w:tcW w:w="588" w:type="pct"/>
            <w:vMerge w:val="restart"/>
            <w:tcBorders>
              <w:top w:val="single" w:sz="4" w:space="0" w:color="auto"/>
              <w:bottom w:val="single" w:sz="4" w:space="0" w:color="auto"/>
            </w:tcBorders>
            <w:vAlign w:val="center"/>
          </w:tcPr>
          <w:p w14:paraId="139EB467" w14:textId="77777777" w:rsidR="00F00DD8" w:rsidRPr="004124EC" w:rsidRDefault="00F00DD8" w:rsidP="004124EC">
            <w:pPr>
              <w:spacing w:after="0"/>
              <w:jc w:val="center"/>
              <w:rPr>
                <w:b/>
                <w:sz w:val="16"/>
              </w:rPr>
            </w:pPr>
            <w:r w:rsidRPr="004124EC">
              <w:rPr>
                <w:b/>
                <w:sz w:val="16"/>
              </w:rPr>
              <w:t>Mix Design ID</w:t>
            </w:r>
          </w:p>
        </w:tc>
        <w:tc>
          <w:tcPr>
            <w:tcW w:w="1306" w:type="pct"/>
            <w:gridSpan w:val="3"/>
            <w:tcBorders>
              <w:bottom w:val="nil"/>
            </w:tcBorders>
            <w:vAlign w:val="center"/>
          </w:tcPr>
          <w:p w14:paraId="4A7B7ECD" w14:textId="77777777" w:rsidR="00F00DD8" w:rsidRPr="004124EC" w:rsidRDefault="00F00DD8" w:rsidP="004124EC">
            <w:pPr>
              <w:spacing w:after="0"/>
              <w:jc w:val="center"/>
              <w:rPr>
                <w:b/>
                <w:sz w:val="16"/>
              </w:rPr>
            </w:pPr>
            <w:r w:rsidRPr="004124EC">
              <w:rPr>
                <w:b/>
                <w:sz w:val="16"/>
              </w:rPr>
              <w:t>Pre-fired composition</w:t>
            </w:r>
          </w:p>
          <w:p w14:paraId="7EBC5ED4" w14:textId="77777777" w:rsidR="00F00DD8" w:rsidRPr="004124EC" w:rsidRDefault="00F00DD8" w:rsidP="004124EC">
            <w:pPr>
              <w:spacing w:after="0"/>
              <w:jc w:val="center"/>
              <w:rPr>
                <w:b/>
                <w:sz w:val="16"/>
              </w:rPr>
            </w:pPr>
            <w:r w:rsidRPr="004124EC">
              <w:rPr>
                <w:b/>
                <w:sz w:val="16"/>
              </w:rPr>
              <w:t>(%wt.)</w:t>
            </w:r>
          </w:p>
        </w:tc>
        <w:tc>
          <w:tcPr>
            <w:tcW w:w="780" w:type="pct"/>
            <w:vMerge w:val="restart"/>
            <w:tcBorders>
              <w:top w:val="single" w:sz="4" w:space="0" w:color="auto"/>
              <w:bottom w:val="single" w:sz="4" w:space="0" w:color="auto"/>
            </w:tcBorders>
            <w:vAlign w:val="center"/>
          </w:tcPr>
          <w:p w14:paraId="1B8EDB7C" w14:textId="77777777" w:rsidR="00F00DD8" w:rsidRPr="004124EC" w:rsidRDefault="00F00DD8" w:rsidP="004124EC">
            <w:pPr>
              <w:spacing w:after="0"/>
              <w:jc w:val="center"/>
              <w:rPr>
                <w:b/>
                <w:sz w:val="16"/>
              </w:rPr>
            </w:pPr>
            <w:r w:rsidRPr="004124EC">
              <w:rPr>
                <w:b/>
                <w:sz w:val="16"/>
              </w:rPr>
              <w:t>Firing temperature</w:t>
            </w:r>
          </w:p>
          <w:p w14:paraId="5286F040" w14:textId="77777777" w:rsidR="00F00DD8" w:rsidRPr="004124EC" w:rsidRDefault="00F00DD8" w:rsidP="004124EC">
            <w:pPr>
              <w:spacing w:after="0"/>
              <w:jc w:val="center"/>
              <w:rPr>
                <w:b/>
                <w:sz w:val="16"/>
              </w:rPr>
            </w:pPr>
            <w:r w:rsidRPr="004124EC">
              <w:rPr>
                <w:b/>
                <w:sz w:val="16"/>
              </w:rPr>
              <w:t>(°C)</w:t>
            </w:r>
          </w:p>
        </w:tc>
        <w:tc>
          <w:tcPr>
            <w:tcW w:w="586" w:type="pct"/>
            <w:vMerge w:val="restart"/>
            <w:tcBorders>
              <w:top w:val="single" w:sz="4" w:space="0" w:color="auto"/>
              <w:bottom w:val="single" w:sz="4" w:space="0" w:color="auto"/>
            </w:tcBorders>
            <w:vAlign w:val="center"/>
          </w:tcPr>
          <w:p w14:paraId="1DBB96AD" w14:textId="77777777" w:rsidR="00F00DD8" w:rsidRPr="004124EC" w:rsidRDefault="00F00DD8" w:rsidP="004124EC">
            <w:pPr>
              <w:spacing w:after="0"/>
              <w:jc w:val="center"/>
              <w:rPr>
                <w:b/>
                <w:sz w:val="16"/>
              </w:rPr>
            </w:pPr>
            <w:r w:rsidRPr="004124EC">
              <w:rPr>
                <w:b/>
                <w:sz w:val="16"/>
              </w:rPr>
              <w:t>Alkali for activating solution</w:t>
            </w:r>
          </w:p>
        </w:tc>
        <w:tc>
          <w:tcPr>
            <w:tcW w:w="580" w:type="pct"/>
            <w:vMerge w:val="restart"/>
            <w:tcBorders>
              <w:top w:val="single" w:sz="4" w:space="0" w:color="auto"/>
              <w:bottom w:val="single" w:sz="4" w:space="0" w:color="auto"/>
            </w:tcBorders>
            <w:vAlign w:val="center"/>
          </w:tcPr>
          <w:p w14:paraId="40903301" w14:textId="77777777" w:rsidR="00F00DD8" w:rsidRPr="004124EC" w:rsidRDefault="00F00DD8" w:rsidP="004124EC">
            <w:pPr>
              <w:spacing w:after="0"/>
              <w:jc w:val="center"/>
              <w:rPr>
                <w:b/>
                <w:sz w:val="16"/>
              </w:rPr>
            </w:pPr>
            <w:r w:rsidRPr="004124EC">
              <w:rPr>
                <w:b/>
                <w:sz w:val="16"/>
              </w:rPr>
              <w:t>Liquid to solid ratio</w:t>
            </w:r>
          </w:p>
        </w:tc>
        <w:tc>
          <w:tcPr>
            <w:tcW w:w="581" w:type="pct"/>
            <w:vMerge w:val="restart"/>
            <w:tcBorders>
              <w:top w:val="single" w:sz="4" w:space="0" w:color="auto"/>
              <w:bottom w:val="single" w:sz="4" w:space="0" w:color="auto"/>
            </w:tcBorders>
            <w:vAlign w:val="center"/>
          </w:tcPr>
          <w:p w14:paraId="77018421" w14:textId="77777777" w:rsidR="00F00DD8" w:rsidRPr="004124EC" w:rsidRDefault="00F00DD8" w:rsidP="004124EC">
            <w:pPr>
              <w:spacing w:after="0"/>
              <w:jc w:val="center"/>
              <w:rPr>
                <w:b/>
                <w:sz w:val="16"/>
              </w:rPr>
            </w:pPr>
            <w:r w:rsidRPr="004124EC">
              <w:rPr>
                <w:b/>
                <w:sz w:val="16"/>
              </w:rPr>
              <w:t>Pressing</w:t>
            </w:r>
          </w:p>
        </w:tc>
        <w:tc>
          <w:tcPr>
            <w:tcW w:w="579" w:type="pct"/>
            <w:vMerge w:val="restart"/>
            <w:tcBorders>
              <w:top w:val="single" w:sz="4" w:space="0" w:color="auto"/>
              <w:bottom w:val="single" w:sz="4" w:space="0" w:color="auto"/>
            </w:tcBorders>
            <w:vAlign w:val="center"/>
          </w:tcPr>
          <w:p w14:paraId="1036CCDE" w14:textId="3F24B696" w:rsidR="00F00DD8" w:rsidRPr="004124EC" w:rsidRDefault="00782495" w:rsidP="004124EC">
            <w:pPr>
              <w:spacing w:after="0"/>
              <w:jc w:val="center"/>
              <w:rPr>
                <w:b/>
                <w:sz w:val="16"/>
              </w:rPr>
            </w:pPr>
            <w:r>
              <w:rPr>
                <w:b/>
                <w:sz w:val="16"/>
              </w:rPr>
              <w:t>7-day</w:t>
            </w:r>
            <w:r w:rsidR="00F00DD8" w:rsidRPr="004124EC">
              <w:rPr>
                <w:b/>
                <w:sz w:val="16"/>
              </w:rPr>
              <w:t xml:space="preserve"> compressive strength (MPa)</w:t>
            </w:r>
          </w:p>
        </w:tc>
      </w:tr>
      <w:tr w:rsidR="00F00DD8" w:rsidRPr="0033475F" w14:paraId="1AD82734" w14:textId="77777777" w:rsidTr="004124EC">
        <w:trPr>
          <w:trHeight w:val="220"/>
        </w:trPr>
        <w:tc>
          <w:tcPr>
            <w:tcW w:w="588" w:type="pct"/>
            <w:vMerge/>
            <w:tcBorders>
              <w:top w:val="nil"/>
              <w:bottom w:val="single" w:sz="4" w:space="0" w:color="auto"/>
            </w:tcBorders>
            <w:vAlign w:val="center"/>
          </w:tcPr>
          <w:p w14:paraId="337B872D" w14:textId="77777777" w:rsidR="00F00DD8" w:rsidRPr="004124EC" w:rsidRDefault="00F00DD8" w:rsidP="0033475F">
            <w:pPr>
              <w:spacing w:after="0" w:line="240" w:lineRule="auto"/>
              <w:jc w:val="center"/>
              <w:rPr>
                <w:b/>
                <w:sz w:val="16"/>
              </w:rPr>
            </w:pPr>
          </w:p>
        </w:tc>
        <w:tc>
          <w:tcPr>
            <w:tcW w:w="435" w:type="pct"/>
            <w:tcBorders>
              <w:top w:val="nil"/>
              <w:bottom w:val="single" w:sz="4" w:space="0" w:color="auto"/>
            </w:tcBorders>
            <w:vAlign w:val="center"/>
          </w:tcPr>
          <w:p w14:paraId="24FD87EA" w14:textId="77777777" w:rsidR="00F00DD8" w:rsidRPr="004124EC" w:rsidRDefault="00F00DD8" w:rsidP="004124EC">
            <w:pPr>
              <w:spacing w:after="0"/>
              <w:jc w:val="center"/>
              <w:rPr>
                <w:b/>
                <w:sz w:val="16"/>
              </w:rPr>
            </w:pPr>
            <w:r w:rsidRPr="004124EC">
              <w:rPr>
                <w:b/>
                <w:sz w:val="16"/>
              </w:rPr>
              <w:t>BR (dry)</w:t>
            </w:r>
          </w:p>
        </w:tc>
        <w:tc>
          <w:tcPr>
            <w:tcW w:w="435" w:type="pct"/>
            <w:tcBorders>
              <w:top w:val="nil"/>
              <w:bottom w:val="single" w:sz="4" w:space="0" w:color="auto"/>
            </w:tcBorders>
            <w:vAlign w:val="center"/>
          </w:tcPr>
          <w:p w14:paraId="2D53E92F" w14:textId="054715A3" w:rsidR="00F00DD8" w:rsidRPr="004124EC" w:rsidRDefault="00F00DD8" w:rsidP="004124EC">
            <w:pPr>
              <w:spacing w:after="0"/>
              <w:jc w:val="center"/>
              <w:rPr>
                <w:b/>
                <w:sz w:val="16"/>
              </w:rPr>
            </w:pPr>
            <w:r w:rsidRPr="004124EC">
              <w:rPr>
                <w:b/>
                <w:sz w:val="16"/>
              </w:rPr>
              <w:t>C</w:t>
            </w:r>
            <w:r w:rsidR="00E16852">
              <w:rPr>
                <w:b/>
                <w:sz w:val="16"/>
              </w:rPr>
              <w:t>arbon</w:t>
            </w:r>
          </w:p>
        </w:tc>
        <w:tc>
          <w:tcPr>
            <w:tcW w:w="436" w:type="pct"/>
            <w:tcBorders>
              <w:top w:val="nil"/>
              <w:bottom w:val="single" w:sz="4" w:space="0" w:color="auto"/>
            </w:tcBorders>
            <w:vAlign w:val="center"/>
          </w:tcPr>
          <w:p w14:paraId="07258D5D" w14:textId="1F2F996C" w:rsidR="00F00DD8" w:rsidRPr="004124EC" w:rsidRDefault="00F00DD8" w:rsidP="004124EC">
            <w:pPr>
              <w:spacing w:after="0"/>
              <w:jc w:val="center"/>
              <w:rPr>
                <w:b/>
                <w:sz w:val="16"/>
              </w:rPr>
            </w:pPr>
            <w:r w:rsidRPr="004124EC">
              <w:rPr>
                <w:b/>
                <w:sz w:val="16"/>
              </w:rPr>
              <w:t>Si</w:t>
            </w:r>
            <w:r w:rsidR="00E16852">
              <w:rPr>
                <w:b/>
                <w:sz w:val="16"/>
              </w:rPr>
              <w:t>lica</w:t>
            </w:r>
          </w:p>
        </w:tc>
        <w:tc>
          <w:tcPr>
            <w:tcW w:w="780" w:type="pct"/>
            <w:vMerge/>
            <w:tcBorders>
              <w:top w:val="nil"/>
              <w:bottom w:val="single" w:sz="4" w:space="0" w:color="auto"/>
            </w:tcBorders>
            <w:vAlign w:val="center"/>
          </w:tcPr>
          <w:p w14:paraId="46ACE1BB" w14:textId="77777777" w:rsidR="00F00DD8" w:rsidRPr="004124EC" w:rsidRDefault="00F00DD8" w:rsidP="0033475F">
            <w:pPr>
              <w:spacing w:after="0" w:line="240" w:lineRule="auto"/>
              <w:jc w:val="center"/>
              <w:rPr>
                <w:b/>
                <w:sz w:val="16"/>
              </w:rPr>
            </w:pPr>
          </w:p>
        </w:tc>
        <w:tc>
          <w:tcPr>
            <w:tcW w:w="586" w:type="pct"/>
            <w:vMerge/>
            <w:tcBorders>
              <w:top w:val="nil"/>
              <w:bottom w:val="single" w:sz="4" w:space="0" w:color="auto"/>
            </w:tcBorders>
            <w:vAlign w:val="center"/>
          </w:tcPr>
          <w:p w14:paraId="715C9E91" w14:textId="77777777" w:rsidR="00F00DD8" w:rsidRPr="004124EC" w:rsidRDefault="00F00DD8" w:rsidP="0033475F">
            <w:pPr>
              <w:spacing w:after="0" w:line="240" w:lineRule="auto"/>
              <w:jc w:val="center"/>
              <w:rPr>
                <w:b/>
                <w:sz w:val="16"/>
              </w:rPr>
            </w:pPr>
          </w:p>
        </w:tc>
        <w:tc>
          <w:tcPr>
            <w:tcW w:w="580" w:type="pct"/>
            <w:vMerge/>
            <w:tcBorders>
              <w:top w:val="nil"/>
              <w:bottom w:val="single" w:sz="4" w:space="0" w:color="auto"/>
            </w:tcBorders>
            <w:vAlign w:val="center"/>
          </w:tcPr>
          <w:p w14:paraId="093C2680" w14:textId="77777777" w:rsidR="00F00DD8" w:rsidRPr="004124EC" w:rsidRDefault="00F00DD8" w:rsidP="0033475F">
            <w:pPr>
              <w:spacing w:after="0" w:line="240" w:lineRule="auto"/>
              <w:jc w:val="center"/>
              <w:rPr>
                <w:b/>
                <w:sz w:val="16"/>
              </w:rPr>
            </w:pPr>
          </w:p>
        </w:tc>
        <w:tc>
          <w:tcPr>
            <w:tcW w:w="581" w:type="pct"/>
            <w:vMerge/>
            <w:tcBorders>
              <w:top w:val="nil"/>
              <w:bottom w:val="single" w:sz="4" w:space="0" w:color="auto"/>
            </w:tcBorders>
            <w:vAlign w:val="center"/>
          </w:tcPr>
          <w:p w14:paraId="639DBFB5" w14:textId="77777777" w:rsidR="00F00DD8" w:rsidRPr="004124EC" w:rsidRDefault="00F00DD8" w:rsidP="0033475F">
            <w:pPr>
              <w:spacing w:after="0" w:line="240" w:lineRule="auto"/>
              <w:jc w:val="center"/>
              <w:rPr>
                <w:b/>
                <w:sz w:val="16"/>
              </w:rPr>
            </w:pPr>
          </w:p>
        </w:tc>
        <w:tc>
          <w:tcPr>
            <w:tcW w:w="579" w:type="pct"/>
            <w:vMerge/>
            <w:tcBorders>
              <w:top w:val="nil"/>
              <w:bottom w:val="single" w:sz="4" w:space="0" w:color="auto"/>
            </w:tcBorders>
            <w:vAlign w:val="center"/>
          </w:tcPr>
          <w:p w14:paraId="35D08056" w14:textId="77777777" w:rsidR="00F00DD8" w:rsidRPr="004124EC" w:rsidRDefault="00F00DD8" w:rsidP="0033475F">
            <w:pPr>
              <w:spacing w:after="0" w:line="240" w:lineRule="auto"/>
              <w:jc w:val="center"/>
              <w:rPr>
                <w:b/>
                <w:sz w:val="16"/>
              </w:rPr>
            </w:pPr>
          </w:p>
        </w:tc>
      </w:tr>
      <w:tr w:rsidR="00F00DD8" w:rsidRPr="0033475F" w14:paraId="7D456E93" w14:textId="77777777" w:rsidTr="004124EC">
        <w:tc>
          <w:tcPr>
            <w:tcW w:w="588" w:type="pct"/>
            <w:tcBorders>
              <w:top w:val="single" w:sz="4" w:space="0" w:color="auto"/>
            </w:tcBorders>
            <w:vAlign w:val="center"/>
          </w:tcPr>
          <w:p w14:paraId="7164C610" w14:textId="77777777" w:rsidR="00F00DD8" w:rsidRPr="004124EC" w:rsidRDefault="00F00DD8" w:rsidP="004124EC">
            <w:pPr>
              <w:spacing w:after="0"/>
              <w:jc w:val="center"/>
              <w:rPr>
                <w:sz w:val="16"/>
              </w:rPr>
            </w:pPr>
            <w:r w:rsidRPr="004124EC">
              <w:rPr>
                <w:sz w:val="16"/>
              </w:rPr>
              <w:t>11-N-K</w:t>
            </w:r>
          </w:p>
        </w:tc>
        <w:tc>
          <w:tcPr>
            <w:tcW w:w="435" w:type="pct"/>
            <w:tcBorders>
              <w:top w:val="single" w:sz="4" w:space="0" w:color="auto"/>
            </w:tcBorders>
            <w:vAlign w:val="center"/>
          </w:tcPr>
          <w:p w14:paraId="420F3B4A" w14:textId="77777777" w:rsidR="00F00DD8" w:rsidRPr="004124EC" w:rsidRDefault="00F00DD8" w:rsidP="004124EC">
            <w:pPr>
              <w:spacing w:after="0"/>
              <w:jc w:val="center"/>
              <w:rPr>
                <w:sz w:val="16"/>
              </w:rPr>
            </w:pPr>
            <w:r w:rsidRPr="004124EC">
              <w:rPr>
                <w:sz w:val="16"/>
              </w:rPr>
              <w:t>100</w:t>
            </w:r>
          </w:p>
        </w:tc>
        <w:tc>
          <w:tcPr>
            <w:tcW w:w="435" w:type="pct"/>
            <w:tcBorders>
              <w:top w:val="single" w:sz="4" w:space="0" w:color="auto"/>
            </w:tcBorders>
            <w:vAlign w:val="center"/>
          </w:tcPr>
          <w:p w14:paraId="5D6259E0" w14:textId="77777777" w:rsidR="00F00DD8" w:rsidRPr="004124EC" w:rsidRDefault="00F00DD8" w:rsidP="004124EC">
            <w:pPr>
              <w:spacing w:after="0"/>
              <w:jc w:val="center"/>
              <w:rPr>
                <w:sz w:val="16"/>
              </w:rPr>
            </w:pPr>
            <w:r w:rsidRPr="004124EC">
              <w:rPr>
                <w:sz w:val="16"/>
              </w:rPr>
              <w:t>0</w:t>
            </w:r>
          </w:p>
        </w:tc>
        <w:tc>
          <w:tcPr>
            <w:tcW w:w="436" w:type="pct"/>
            <w:tcBorders>
              <w:top w:val="single" w:sz="4" w:space="0" w:color="auto"/>
            </w:tcBorders>
            <w:vAlign w:val="center"/>
          </w:tcPr>
          <w:p w14:paraId="211ED7F8" w14:textId="77777777" w:rsidR="00F00DD8" w:rsidRPr="004124EC" w:rsidRDefault="00F00DD8" w:rsidP="004124EC">
            <w:pPr>
              <w:spacing w:after="0"/>
              <w:jc w:val="center"/>
              <w:rPr>
                <w:sz w:val="16"/>
              </w:rPr>
            </w:pPr>
            <w:r w:rsidRPr="004124EC">
              <w:rPr>
                <w:sz w:val="16"/>
              </w:rPr>
              <w:t>0</w:t>
            </w:r>
          </w:p>
        </w:tc>
        <w:tc>
          <w:tcPr>
            <w:tcW w:w="780" w:type="pct"/>
            <w:tcBorders>
              <w:top w:val="single" w:sz="4" w:space="0" w:color="auto"/>
            </w:tcBorders>
            <w:vAlign w:val="center"/>
          </w:tcPr>
          <w:p w14:paraId="375006A8" w14:textId="77777777" w:rsidR="00F00DD8" w:rsidRPr="004124EC" w:rsidRDefault="00F00DD8" w:rsidP="004124EC">
            <w:pPr>
              <w:spacing w:after="0"/>
              <w:jc w:val="center"/>
              <w:rPr>
                <w:sz w:val="16"/>
              </w:rPr>
            </w:pPr>
            <w:r w:rsidRPr="004124EC">
              <w:rPr>
                <w:sz w:val="16"/>
              </w:rPr>
              <w:t>1100</w:t>
            </w:r>
          </w:p>
        </w:tc>
        <w:tc>
          <w:tcPr>
            <w:tcW w:w="586" w:type="pct"/>
            <w:tcBorders>
              <w:top w:val="single" w:sz="4" w:space="0" w:color="auto"/>
            </w:tcBorders>
            <w:vAlign w:val="center"/>
          </w:tcPr>
          <w:p w14:paraId="141C3267" w14:textId="77777777" w:rsidR="00F00DD8" w:rsidRPr="004124EC" w:rsidRDefault="00F00DD8" w:rsidP="004124EC">
            <w:pPr>
              <w:spacing w:after="0"/>
              <w:jc w:val="center"/>
              <w:rPr>
                <w:sz w:val="16"/>
              </w:rPr>
            </w:pPr>
            <w:r w:rsidRPr="004124EC">
              <w:rPr>
                <w:sz w:val="16"/>
              </w:rPr>
              <w:t>K-silicate</w:t>
            </w:r>
          </w:p>
        </w:tc>
        <w:tc>
          <w:tcPr>
            <w:tcW w:w="580" w:type="pct"/>
            <w:tcBorders>
              <w:top w:val="single" w:sz="4" w:space="0" w:color="auto"/>
            </w:tcBorders>
            <w:vAlign w:val="center"/>
          </w:tcPr>
          <w:p w14:paraId="18C644F4" w14:textId="77777777" w:rsidR="00F00DD8" w:rsidRPr="004124EC" w:rsidRDefault="00F00DD8" w:rsidP="004124EC">
            <w:pPr>
              <w:spacing w:after="0"/>
              <w:jc w:val="center"/>
              <w:rPr>
                <w:sz w:val="16"/>
              </w:rPr>
            </w:pPr>
            <w:r w:rsidRPr="004124EC">
              <w:rPr>
                <w:sz w:val="16"/>
              </w:rPr>
              <w:t>0.25</w:t>
            </w:r>
          </w:p>
        </w:tc>
        <w:tc>
          <w:tcPr>
            <w:tcW w:w="581" w:type="pct"/>
            <w:tcBorders>
              <w:top w:val="single" w:sz="4" w:space="0" w:color="auto"/>
            </w:tcBorders>
            <w:vAlign w:val="center"/>
          </w:tcPr>
          <w:p w14:paraId="09500C93" w14:textId="77777777" w:rsidR="00F00DD8" w:rsidRPr="004124EC" w:rsidRDefault="00F00DD8" w:rsidP="004124EC">
            <w:pPr>
              <w:spacing w:after="0"/>
              <w:jc w:val="center"/>
              <w:rPr>
                <w:sz w:val="16"/>
              </w:rPr>
            </w:pPr>
            <w:r w:rsidRPr="004124EC">
              <w:rPr>
                <w:sz w:val="16"/>
              </w:rPr>
              <w:t>No</w:t>
            </w:r>
          </w:p>
        </w:tc>
        <w:tc>
          <w:tcPr>
            <w:tcW w:w="579" w:type="pct"/>
            <w:tcBorders>
              <w:top w:val="single" w:sz="4" w:space="0" w:color="auto"/>
            </w:tcBorders>
            <w:vAlign w:val="center"/>
          </w:tcPr>
          <w:p w14:paraId="5EFF2543" w14:textId="77777777" w:rsidR="00F00DD8" w:rsidRPr="004124EC" w:rsidRDefault="00F00DD8" w:rsidP="004124EC">
            <w:pPr>
              <w:spacing w:after="0"/>
              <w:jc w:val="center"/>
              <w:rPr>
                <w:sz w:val="16"/>
              </w:rPr>
            </w:pPr>
            <w:r w:rsidRPr="004124EC">
              <w:rPr>
                <w:sz w:val="16"/>
              </w:rPr>
              <w:t>13.0 ± 0.4</w:t>
            </w:r>
          </w:p>
        </w:tc>
      </w:tr>
      <w:tr w:rsidR="00F00DD8" w:rsidRPr="0033475F" w14:paraId="4FA95495" w14:textId="77777777" w:rsidTr="004124EC">
        <w:tc>
          <w:tcPr>
            <w:tcW w:w="588" w:type="pct"/>
            <w:vAlign w:val="center"/>
          </w:tcPr>
          <w:p w14:paraId="6BB00B8A" w14:textId="77777777" w:rsidR="00F00DD8" w:rsidRPr="004124EC" w:rsidRDefault="00F00DD8" w:rsidP="004124EC">
            <w:pPr>
              <w:spacing w:after="0"/>
              <w:jc w:val="center"/>
              <w:rPr>
                <w:sz w:val="16"/>
              </w:rPr>
            </w:pPr>
            <w:r w:rsidRPr="004124EC">
              <w:rPr>
                <w:sz w:val="16"/>
              </w:rPr>
              <w:t>11-C-K</w:t>
            </w:r>
          </w:p>
        </w:tc>
        <w:tc>
          <w:tcPr>
            <w:tcW w:w="435" w:type="pct"/>
            <w:vAlign w:val="center"/>
          </w:tcPr>
          <w:p w14:paraId="5BB79D00" w14:textId="77777777" w:rsidR="00F00DD8" w:rsidRPr="004124EC" w:rsidRDefault="00F00DD8" w:rsidP="004124EC">
            <w:pPr>
              <w:spacing w:after="0"/>
              <w:jc w:val="center"/>
              <w:rPr>
                <w:sz w:val="16"/>
              </w:rPr>
            </w:pPr>
            <w:r w:rsidRPr="004124EC">
              <w:rPr>
                <w:sz w:val="16"/>
              </w:rPr>
              <w:t>98.4</w:t>
            </w:r>
          </w:p>
        </w:tc>
        <w:tc>
          <w:tcPr>
            <w:tcW w:w="435" w:type="pct"/>
            <w:vAlign w:val="center"/>
          </w:tcPr>
          <w:p w14:paraId="2E0EEA2F" w14:textId="77777777" w:rsidR="00F00DD8" w:rsidRPr="004124EC" w:rsidRDefault="00F00DD8" w:rsidP="004124EC">
            <w:pPr>
              <w:spacing w:after="0"/>
              <w:jc w:val="center"/>
              <w:rPr>
                <w:sz w:val="16"/>
              </w:rPr>
            </w:pPr>
            <w:r w:rsidRPr="004124EC">
              <w:rPr>
                <w:sz w:val="16"/>
              </w:rPr>
              <w:t>1.6</w:t>
            </w:r>
          </w:p>
        </w:tc>
        <w:tc>
          <w:tcPr>
            <w:tcW w:w="436" w:type="pct"/>
            <w:vAlign w:val="center"/>
          </w:tcPr>
          <w:p w14:paraId="0D3AD71B" w14:textId="77777777" w:rsidR="00F00DD8" w:rsidRPr="004124EC" w:rsidRDefault="00F00DD8" w:rsidP="004124EC">
            <w:pPr>
              <w:spacing w:after="0"/>
              <w:jc w:val="center"/>
              <w:rPr>
                <w:sz w:val="16"/>
              </w:rPr>
            </w:pPr>
            <w:r w:rsidRPr="004124EC">
              <w:rPr>
                <w:sz w:val="16"/>
              </w:rPr>
              <w:t>0</w:t>
            </w:r>
          </w:p>
        </w:tc>
        <w:tc>
          <w:tcPr>
            <w:tcW w:w="780" w:type="pct"/>
            <w:vAlign w:val="center"/>
          </w:tcPr>
          <w:p w14:paraId="255AEBF8" w14:textId="77777777" w:rsidR="00F00DD8" w:rsidRPr="004124EC" w:rsidRDefault="00F00DD8" w:rsidP="004124EC">
            <w:pPr>
              <w:spacing w:after="0"/>
              <w:jc w:val="center"/>
              <w:rPr>
                <w:sz w:val="16"/>
              </w:rPr>
            </w:pPr>
            <w:r w:rsidRPr="004124EC">
              <w:rPr>
                <w:sz w:val="16"/>
              </w:rPr>
              <w:t>1100</w:t>
            </w:r>
          </w:p>
        </w:tc>
        <w:tc>
          <w:tcPr>
            <w:tcW w:w="586" w:type="pct"/>
            <w:vAlign w:val="center"/>
          </w:tcPr>
          <w:p w14:paraId="2C1B55AC" w14:textId="77777777" w:rsidR="00F00DD8" w:rsidRPr="004124EC" w:rsidRDefault="00F00DD8" w:rsidP="004124EC">
            <w:pPr>
              <w:spacing w:after="0"/>
              <w:jc w:val="center"/>
              <w:rPr>
                <w:sz w:val="16"/>
              </w:rPr>
            </w:pPr>
            <w:r w:rsidRPr="004124EC">
              <w:rPr>
                <w:sz w:val="16"/>
              </w:rPr>
              <w:t>K-silicate</w:t>
            </w:r>
          </w:p>
        </w:tc>
        <w:tc>
          <w:tcPr>
            <w:tcW w:w="580" w:type="pct"/>
            <w:vAlign w:val="center"/>
          </w:tcPr>
          <w:p w14:paraId="2FB27363" w14:textId="77777777" w:rsidR="00F00DD8" w:rsidRPr="004124EC" w:rsidRDefault="00F00DD8" w:rsidP="004124EC">
            <w:pPr>
              <w:spacing w:after="0"/>
              <w:jc w:val="center"/>
              <w:rPr>
                <w:sz w:val="16"/>
              </w:rPr>
            </w:pPr>
            <w:r w:rsidRPr="004124EC">
              <w:rPr>
                <w:sz w:val="16"/>
              </w:rPr>
              <w:t>0.25</w:t>
            </w:r>
          </w:p>
        </w:tc>
        <w:tc>
          <w:tcPr>
            <w:tcW w:w="581" w:type="pct"/>
            <w:vAlign w:val="center"/>
          </w:tcPr>
          <w:p w14:paraId="6C0176E0" w14:textId="77777777" w:rsidR="00F00DD8" w:rsidRPr="004124EC" w:rsidRDefault="00F00DD8" w:rsidP="004124EC">
            <w:pPr>
              <w:spacing w:after="0"/>
              <w:jc w:val="center"/>
              <w:rPr>
                <w:sz w:val="16"/>
              </w:rPr>
            </w:pPr>
            <w:r w:rsidRPr="004124EC">
              <w:rPr>
                <w:sz w:val="16"/>
              </w:rPr>
              <w:t>No</w:t>
            </w:r>
          </w:p>
        </w:tc>
        <w:tc>
          <w:tcPr>
            <w:tcW w:w="579" w:type="pct"/>
            <w:vAlign w:val="center"/>
          </w:tcPr>
          <w:p w14:paraId="0F3A6E62" w14:textId="77777777" w:rsidR="00F00DD8" w:rsidRPr="004124EC" w:rsidRDefault="00F00DD8" w:rsidP="004124EC">
            <w:pPr>
              <w:spacing w:after="0"/>
              <w:jc w:val="center"/>
              <w:rPr>
                <w:sz w:val="16"/>
              </w:rPr>
            </w:pPr>
            <w:r w:rsidRPr="004124EC">
              <w:rPr>
                <w:sz w:val="16"/>
              </w:rPr>
              <w:t>19.7 ± 1.1</w:t>
            </w:r>
          </w:p>
        </w:tc>
      </w:tr>
      <w:tr w:rsidR="00F00DD8" w:rsidRPr="0033475F" w14:paraId="487DF3AC" w14:textId="77777777" w:rsidTr="004124EC">
        <w:tc>
          <w:tcPr>
            <w:tcW w:w="588" w:type="pct"/>
            <w:vAlign w:val="center"/>
          </w:tcPr>
          <w:p w14:paraId="2E1EADB3" w14:textId="77777777" w:rsidR="00F00DD8" w:rsidRPr="004124EC" w:rsidRDefault="00F00DD8" w:rsidP="004124EC">
            <w:pPr>
              <w:spacing w:after="0"/>
              <w:jc w:val="center"/>
              <w:rPr>
                <w:sz w:val="16"/>
              </w:rPr>
            </w:pPr>
            <w:r w:rsidRPr="004124EC">
              <w:rPr>
                <w:sz w:val="16"/>
              </w:rPr>
              <w:t>11-CS-K</w:t>
            </w:r>
          </w:p>
        </w:tc>
        <w:tc>
          <w:tcPr>
            <w:tcW w:w="435" w:type="pct"/>
            <w:vAlign w:val="center"/>
          </w:tcPr>
          <w:p w14:paraId="69FA7023" w14:textId="77777777" w:rsidR="00F00DD8" w:rsidRPr="004124EC" w:rsidRDefault="00F00DD8" w:rsidP="004124EC">
            <w:pPr>
              <w:spacing w:after="0"/>
              <w:jc w:val="center"/>
              <w:rPr>
                <w:sz w:val="16"/>
              </w:rPr>
            </w:pPr>
            <w:r w:rsidRPr="004124EC">
              <w:rPr>
                <w:sz w:val="16"/>
              </w:rPr>
              <w:t>88.56</w:t>
            </w:r>
          </w:p>
        </w:tc>
        <w:tc>
          <w:tcPr>
            <w:tcW w:w="435" w:type="pct"/>
            <w:vAlign w:val="center"/>
          </w:tcPr>
          <w:p w14:paraId="47ACCCD3" w14:textId="77777777" w:rsidR="00F00DD8" w:rsidRPr="004124EC" w:rsidRDefault="00F00DD8" w:rsidP="004124EC">
            <w:pPr>
              <w:spacing w:after="0"/>
              <w:jc w:val="center"/>
              <w:rPr>
                <w:sz w:val="16"/>
              </w:rPr>
            </w:pPr>
            <w:r w:rsidRPr="004124EC">
              <w:rPr>
                <w:sz w:val="16"/>
              </w:rPr>
              <w:t>1.44</w:t>
            </w:r>
          </w:p>
        </w:tc>
        <w:tc>
          <w:tcPr>
            <w:tcW w:w="436" w:type="pct"/>
            <w:vAlign w:val="center"/>
          </w:tcPr>
          <w:p w14:paraId="4B3A99E3" w14:textId="77777777" w:rsidR="00F00DD8" w:rsidRPr="004124EC" w:rsidRDefault="00F00DD8" w:rsidP="004124EC">
            <w:pPr>
              <w:spacing w:after="0"/>
              <w:jc w:val="center"/>
              <w:rPr>
                <w:sz w:val="16"/>
              </w:rPr>
            </w:pPr>
            <w:r w:rsidRPr="004124EC">
              <w:rPr>
                <w:sz w:val="16"/>
              </w:rPr>
              <w:t>10</w:t>
            </w:r>
          </w:p>
        </w:tc>
        <w:tc>
          <w:tcPr>
            <w:tcW w:w="780" w:type="pct"/>
            <w:vAlign w:val="center"/>
          </w:tcPr>
          <w:p w14:paraId="222E6E23" w14:textId="77777777" w:rsidR="00F00DD8" w:rsidRPr="004124EC" w:rsidRDefault="00F00DD8" w:rsidP="004124EC">
            <w:pPr>
              <w:spacing w:after="0"/>
              <w:jc w:val="center"/>
              <w:rPr>
                <w:sz w:val="16"/>
              </w:rPr>
            </w:pPr>
            <w:r w:rsidRPr="004124EC">
              <w:rPr>
                <w:sz w:val="16"/>
              </w:rPr>
              <w:t>1100</w:t>
            </w:r>
          </w:p>
        </w:tc>
        <w:tc>
          <w:tcPr>
            <w:tcW w:w="586" w:type="pct"/>
            <w:vAlign w:val="center"/>
          </w:tcPr>
          <w:p w14:paraId="6A43F1EE" w14:textId="77777777" w:rsidR="00F00DD8" w:rsidRPr="004124EC" w:rsidRDefault="00F00DD8" w:rsidP="004124EC">
            <w:pPr>
              <w:spacing w:after="0"/>
              <w:jc w:val="center"/>
              <w:rPr>
                <w:sz w:val="16"/>
              </w:rPr>
            </w:pPr>
            <w:r w:rsidRPr="004124EC">
              <w:rPr>
                <w:sz w:val="16"/>
              </w:rPr>
              <w:t>K-silicate</w:t>
            </w:r>
          </w:p>
        </w:tc>
        <w:tc>
          <w:tcPr>
            <w:tcW w:w="580" w:type="pct"/>
            <w:vAlign w:val="center"/>
          </w:tcPr>
          <w:p w14:paraId="4BA520A9" w14:textId="77777777" w:rsidR="00F00DD8" w:rsidRPr="004124EC" w:rsidRDefault="00F00DD8" w:rsidP="004124EC">
            <w:pPr>
              <w:spacing w:after="0"/>
              <w:jc w:val="center"/>
              <w:rPr>
                <w:sz w:val="16"/>
              </w:rPr>
            </w:pPr>
            <w:r w:rsidRPr="004124EC">
              <w:rPr>
                <w:sz w:val="16"/>
              </w:rPr>
              <w:t>0.25</w:t>
            </w:r>
          </w:p>
        </w:tc>
        <w:tc>
          <w:tcPr>
            <w:tcW w:w="581" w:type="pct"/>
            <w:vAlign w:val="center"/>
          </w:tcPr>
          <w:p w14:paraId="18E2CE23" w14:textId="77777777" w:rsidR="00F00DD8" w:rsidRPr="004124EC" w:rsidRDefault="00F00DD8" w:rsidP="004124EC">
            <w:pPr>
              <w:spacing w:after="0"/>
              <w:jc w:val="center"/>
              <w:rPr>
                <w:sz w:val="16"/>
              </w:rPr>
            </w:pPr>
            <w:r w:rsidRPr="004124EC">
              <w:rPr>
                <w:sz w:val="16"/>
              </w:rPr>
              <w:t>No</w:t>
            </w:r>
          </w:p>
        </w:tc>
        <w:tc>
          <w:tcPr>
            <w:tcW w:w="579" w:type="pct"/>
            <w:vAlign w:val="center"/>
          </w:tcPr>
          <w:p w14:paraId="500AC6EB" w14:textId="77777777" w:rsidR="00F00DD8" w:rsidRPr="004124EC" w:rsidRDefault="00F00DD8" w:rsidP="004124EC">
            <w:pPr>
              <w:spacing w:after="0"/>
              <w:jc w:val="center"/>
              <w:rPr>
                <w:sz w:val="16"/>
              </w:rPr>
            </w:pPr>
            <w:r w:rsidRPr="004124EC">
              <w:rPr>
                <w:sz w:val="16"/>
              </w:rPr>
              <w:t>43.5 ± 0.5</w:t>
            </w:r>
          </w:p>
        </w:tc>
      </w:tr>
      <w:tr w:rsidR="00F00DD8" w:rsidRPr="0033475F" w14:paraId="3EBDAF0A" w14:textId="77777777" w:rsidTr="004124EC">
        <w:tc>
          <w:tcPr>
            <w:tcW w:w="588" w:type="pct"/>
            <w:vAlign w:val="center"/>
          </w:tcPr>
          <w:p w14:paraId="22F9E035" w14:textId="77777777" w:rsidR="00F00DD8" w:rsidRPr="004124EC" w:rsidRDefault="00F00DD8" w:rsidP="004124EC">
            <w:pPr>
              <w:spacing w:after="0"/>
              <w:jc w:val="center"/>
              <w:rPr>
                <w:sz w:val="16"/>
              </w:rPr>
            </w:pPr>
            <w:r w:rsidRPr="004124EC">
              <w:rPr>
                <w:sz w:val="16"/>
              </w:rPr>
              <w:t>12-CS-K</w:t>
            </w:r>
          </w:p>
        </w:tc>
        <w:tc>
          <w:tcPr>
            <w:tcW w:w="435" w:type="pct"/>
            <w:vAlign w:val="center"/>
          </w:tcPr>
          <w:p w14:paraId="671B191C" w14:textId="77777777" w:rsidR="00F00DD8" w:rsidRPr="004124EC" w:rsidRDefault="00F00DD8" w:rsidP="004124EC">
            <w:pPr>
              <w:spacing w:after="0"/>
              <w:jc w:val="center"/>
              <w:rPr>
                <w:sz w:val="16"/>
              </w:rPr>
            </w:pPr>
            <w:r w:rsidRPr="004124EC">
              <w:rPr>
                <w:sz w:val="16"/>
              </w:rPr>
              <w:t>88.56</w:t>
            </w:r>
          </w:p>
        </w:tc>
        <w:tc>
          <w:tcPr>
            <w:tcW w:w="435" w:type="pct"/>
            <w:vAlign w:val="center"/>
          </w:tcPr>
          <w:p w14:paraId="159F286F" w14:textId="77777777" w:rsidR="00F00DD8" w:rsidRPr="004124EC" w:rsidRDefault="00F00DD8" w:rsidP="004124EC">
            <w:pPr>
              <w:spacing w:after="0"/>
              <w:jc w:val="center"/>
              <w:rPr>
                <w:sz w:val="16"/>
              </w:rPr>
            </w:pPr>
            <w:r w:rsidRPr="004124EC">
              <w:rPr>
                <w:sz w:val="16"/>
              </w:rPr>
              <w:t>1.44</w:t>
            </w:r>
          </w:p>
        </w:tc>
        <w:tc>
          <w:tcPr>
            <w:tcW w:w="436" w:type="pct"/>
            <w:vAlign w:val="center"/>
          </w:tcPr>
          <w:p w14:paraId="15DED4F6" w14:textId="77777777" w:rsidR="00F00DD8" w:rsidRPr="004124EC" w:rsidRDefault="00F00DD8" w:rsidP="004124EC">
            <w:pPr>
              <w:spacing w:after="0"/>
              <w:jc w:val="center"/>
              <w:rPr>
                <w:sz w:val="16"/>
              </w:rPr>
            </w:pPr>
            <w:r w:rsidRPr="004124EC">
              <w:rPr>
                <w:sz w:val="16"/>
              </w:rPr>
              <w:t>10</w:t>
            </w:r>
          </w:p>
        </w:tc>
        <w:tc>
          <w:tcPr>
            <w:tcW w:w="780" w:type="pct"/>
            <w:vAlign w:val="center"/>
          </w:tcPr>
          <w:p w14:paraId="209CA268" w14:textId="77777777" w:rsidR="00F00DD8" w:rsidRPr="004124EC" w:rsidRDefault="00F00DD8" w:rsidP="004124EC">
            <w:pPr>
              <w:spacing w:after="0"/>
              <w:jc w:val="center"/>
              <w:rPr>
                <w:sz w:val="16"/>
              </w:rPr>
            </w:pPr>
            <w:r w:rsidRPr="004124EC">
              <w:rPr>
                <w:sz w:val="16"/>
              </w:rPr>
              <w:t>1200</w:t>
            </w:r>
          </w:p>
        </w:tc>
        <w:tc>
          <w:tcPr>
            <w:tcW w:w="586" w:type="pct"/>
            <w:vAlign w:val="center"/>
          </w:tcPr>
          <w:p w14:paraId="340F3CBC" w14:textId="77777777" w:rsidR="00F00DD8" w:rsidRPr="004124EC" w:rsidRDefault="00F00DD8" w:rsidP="004124EC">
            <w:pPr>
              <w:spacing w:after="0"/>
              <w:jc w:val="center"/>
              <w:rPr>
                <w:sz w:val="16"/>
              </w:rPr>
            </w:pPr>
            <w:r w:rsidRPr="004124EC">
              <w:rPr>
                <w:sz w:val="16"/>
              </w:rPr>
              <w:t>K-silicate</w:t>
            </w:r>
          </w:p>
        </w:tc>
        <w:tc>
          <w:tcPr>
            <w:tcW w:w="580" w:type="pct"/>
            <w:vAlign w:val="center"/>
          </w:tcPr>
          <w:p w14:paraId="4799C0AD" w14:textId="77777777" w:rsidR="00F00DD8" w:rsidRPr="004124EC" w:rsidRDefault="00F00DD8" w:rsidP="004124EC">
            <w:pPr>
              <w:spacing w:after="0"/>
              <w:jc w:val="center"/>
              <w:rPr>
                <w:sz w:val="16"/>
              </w:rPr>
            </w:pPr>
            <w:r w:rsidRPr="004124EC">
              <w:rPr>
                <w:sz w:val="16"/>
              </w:rPr>
              <w:t>0.25</w:t>
            </w:r>
          </w:p>
        </w:tc>
        <w:tc>
          <w:tcPr>
            <w:tcW w:w="581" w:type="pct"/>
            <w:vAlign w:val="center"/>
          </w:tcPr>
          <w:p w14:paraId="70819884" w14:textId="77777777" w:rsidR="00F00DD8" w:rsidRPr="004124EC" w:rsidRDefault="00F00DD8" w:rsidP="004124EC">
            <w:pPr>
              <w:spacing w:after="0"/>
              <w:jc w:val="center"/>
              <w:rPr>
                <w:sz w:val="16"/>
              </w:rPr>
            </w:pPr>
            <w:r w:rsidRPr="004124EC">
              <w:rPr>
                <w:sz w:val="16"/>
              </w:rPr>
              <w:t>No</w:t>
            </w:r>
          </w:p>
        </w:tc>
        <w:tc>
          <w:tcPr>
            <w:tcW w:w="579" w:type="pct"/>
            <w:vAlign w:val="center"/>
          </w:tcPr>
          <w:p w14:paraId="36C500D5" w14:textId="77777777" w:rsidR="00F00DD8" w:rsidRPr="004124EC" w:rsidRDefault="00F00DD8" w:rsidP="004124EC">
            <w:pPr>
              <w:spacing w:after="0"/>
              <w:jc w:val="center"/>
              <w:rPr>
                <w:sz w:val="16"/>
              </w:rPr>
            </w:pPr>
            <w:r w:rsidRPr="004124EC">
              <w:rPr>
                <w:sz w:val="16"/>
              </w:rPr>
              <w:t>80.0 ± 3.0</w:t>
            </w:r>
          </w:p>
        </w:tc>
      </w:tr>
      <w:tr w:rsidR="00F00DD8" w:rsidRPr="0033475F" w14:paraId="088E6CFE" w14:textId="77777777" w:rsidTr="004124EC">
        <w:tc>
          <w:tcPr>
            <w:tcW w:w="588" w:type="pct"/>
            <w:vAlign w:val="center"/>
          </w:tcPr>
          <w:p w14:paraId="0DF0ED4D" w14:textId="77777777" w:rsidR="00F00DD8" w:rsidRPr="004124EC" w:rsidRDefault="00F00DD8" w:rsidP="004124EC">
            <w:pPr>
              <w:spacing w:after="0"/>
              <w:jc w:val="center"/>
              <w:rPr>
                <w:sz w:val="16"/>
              </w:rPr>
            </w:pPr>
            <w:r w:rsidRPr="004124EC">
              <w:rPr>
                <w:sz w:val="16"/>
              </w:rPr>
              <w:t>12-CS-Na</w:t>
            </w:r>
          </w:p>
        </w:tc>
        <w:tc>
          <w:tcPr>
            <w:tcW w:w="435" w:type="pct"/>
            <w:vAlign w:val="center"/>
          </w:tcPr>
          <w:p w14:paraId="6ECC4E34" w14:textId="77777777" w:rsidR="00F00DD8" w:rsidRPr="004124EC" w:rsidRDefault="00F00DD8" w:rsidP="004124EC">
            <w:pPr>
              <w:spacing w:after="0"/>
              <w:jc w:val="center"/>
              <w:rPr>
                <w:sz w:val="16"/>
              </w:rPr>
            </w:pPr>
            <w:r w:rsidRPr="004124EC">
              <w:rPr>
                <w:sz w:val="16"/>
              </w:rPr>
              <w:t>88.56</w:t>
            </w:r>
          </w:p>
        </w:tc>
        <w:tc>
          <w:tcPr>
            <w:tcW w:w="435" w:type="pct"/>
            <w:vAlign w:val="center"/>
          </w:tcPr>
          <w:p w14:paraId="2EE119AD" w14:textId="77777777" w:rsidR="00F00DD8" w:rsidRPr="004124EC" w:rsidRDefault="00F00DD8" w:rsidP="004124EC">
            <w:pPr>
              <w:spacing w:after="0"/>
              <w:jc w:val="center"/>
              <w:rPr>
                <w:sz w:val="16"/>
              </w:rPr>
            </w:pPr>
            <w:r w:rsidRPr="004124EC">
              <w:rPr>
                <w:sz w:val="16"/>
              </w:rPr>
              <w:t>1.44</w:t>
            </w:r>
          </w:p>
        </w:tc>
        <w:tc>
          <w:tcPr>
            <w:tcW w:w="436" w:type="pct"/>
            <w:vAlign w:val="center"/>
          </w:tcPr>
          <w:p w14:paraId="0CA2D433" w14:textId="77777777" w:rsidR="00F00DD8" w:rsidRPr="004124EC" w:rsidRDefault="00F00DD8" w:rsidP="004124EC">
            <w:pPr>
              <w:spacing w:after="0"/>
              <w:jc w:val="center"/>
              <w:rPr>
                <w:sz w:val="16"/>
              </w:rPr>
            </w:pPr>
            <w:r w:rsidRPr="004124EC">
              <w:rPr>
                <w:sz w:val="16"/>
              </w:rPr>
              <w:t>10</w:t>
            </w:r>
          </w:p>
        </w:tc>
        <w:tc>
          <w:tcPr>
            <w:tcW w:w="780" w:type="pct"/>
            <w:vAlign w:val="center"/>
          </w:tcPr>
          <w:p w14:paraId="5DB34D8A" w14:textId="77777777" w:rsidR="00F00DD8" w:rsidRPr="004124EC" w:rsidRDefault="00F00DD8" w:rsidP="004124EC">
            <w:pPr>
              <w:spacing w:after="0"/>
              <w:jc w:val="center"/>
              <w:rPr>
                <w:sz w:val="16"/>
              </w:rPr>
            </w:pPr>
            <w:r w:rsidRPr="004124EC">
              <w:rPr>
                <w:sz w:val="16"/>
              </w:rPr>
              <w:t>1200</w:t>
            </w:r>
          </w:p>
        </w:tc>
        <w:tc>
          <w:tcPr>
            <w:tcW w:w="586" w:type="pct"/>
            <w:vAlign w:val="center"/>
          </w:tcPr>
          <w:p w14:paraId="42B29CFF" w14:textId="77777777" w:rsidR="00F00DD8" w:rsidRPr="004124EC" w:rsidRDefault="00F00DD8" w:rsidP="004124EC">
            <w:pPr>
              <w:spacing w:after="0"/>
              <w:jc w:val="center"/>
              <w:rPr>
                <w:sz w:val="16"/>
              </w:rPr>
            </w:pPr>
            <w:r w:rsidRPr="004124EC">
              <w:rPr>
                <w:sz w:val="16"/>
              </w:rPr>
              <w:t>Na-silicate</w:t>
            </w:r>
          </w:p>
        </w:tc>
        <w:tc>
          <w:tcPr>
            <w:tcW w:w="580" w:type="pct"/>
            <w:vAlign w:val="center"/>
          </w:tcPr>
          <w:p w14:paraId="593DB1C3" w14:textId="77777777" w:rsidR="00F00DD8" w:rsidRPr="004124EC" w:rsidRDefault="00F00DD8" w:rsidP="004124EC">
            <w:pPr>
              <w:spacing w:after="0"/>
              <w:jc w:val="center"/>
              <w:rPr>
                <w:sz w:val="16"/>
              </w:rPr>
            </w:pPr>
            <w:r w:rsidRPr="004124EC">
              <w:rPr>
                <w:sz w:val="16"/>
              </w:rPr>
              <w:t>0.15</w:t>
            </w:r>
          </w:p>
        </w:tc>
        <w:tc>
          <w:tcPr>
            <w:tcW w:w="581" w:type="pct"/>
            <w:vAlign w:val="center"/>
          </w:tcPr>
          <w:p w14:paraId="2ED9587D" w14:textId="77777777" w:rsidR="00F00DD8" w:rsidRPr="004124EC" w:rsidRDefault="00F00DD8" w:rsidP="004124EC">
            <w:pPr>
              <w:spacing w:after="0"/>
              <w:jc w:val="center"/>
              <w:rPr>
                <w:sz w:val="16"/>
              </w:rPr>
            </w:pPr>
            <w:r w:rsidRPr="004124EC">
              <w:rPr>
                <w:sz w:val="16"/>
              </w:rPr>
              <w:t>Yes</w:t>
            </w:r>
          </w:p>
        </w:tc>
        <w:tc>
          <w:tcPr>
            <w:tcW w:w="579" w:type="pct"/>
            <w:vAlign w:val="center"/>
          </w:tcPr>
          <w:p w14:paraId="6324744C" w14:textId="77777777" w:rsidR="00F00DD8" w:rsidRPr="004124EC" w:rsidRDefault="00F00DD8" w:rsidP="004124EC">
            <w:pPr>
              <w:spacing w:after="0"/>
              <w:jc w:val="center"/>
              <w:rPr>
                <w:sz w:val="16"/>
              </w:rPr>
            </w:pPr>
            <w:r w:rsidRPr="004124EC">
              <w:rPr>
                <w:sz w:val="16"/>
              </w:rPr>
              <w:t>149 ± 19.0</w:t>
            </w:r>
          </w:p>
        </w:tc>
      </w:tr>
      <w:tr w:rsidR="00F00DD8" w:rsidRPr="0033475F" w14:paraId="76432119" w14:textId="77777777" w:rsidTr="004124EC">
        <w:tc>
          <w:tcPr>
            <w:tcW w:w="588" w:type="pct"/>
            <w:vAlign w:val="center"/>
          </w:tcPr>
          <w:p w14:paraId="5AF7F688" w14:textId="77777777" w:rsidR="00F00DD8" w:rsidRPr="004124EC" w:rsidRDefault="00F00DD8" w:rsidP="004124EC">
            <w:pPr>
              <w:spacing w:after="0"/>
              <w:jc w:val="center"/>
              <w:rPr>
                <w:sz w:val="16"/>
              </w:rPr>
            </w:pPr>
            <w:r w:rsidRPr="004124EC">
              <w:rPr>
                <w:sz w:val="16"/>
              </w:rPr>
              <w:t>14-CS-K</w:t>
            </w:r>
          </w:p>
        </w:tc>
        <w:tc>
          <w:tcPr>
            <w:tcW w:w="435" w:type="pct"/>
            <w:vAlign w:val="center"/>
          </w:tcPr>
          <w:p w14:paraId="75B9AA53" w14:textId="77777777" w:rsidR="00F00DD8" w:rsidRPr="004124EC" w:rsidRDefault="00F00DD8" w:rsidP="004124EC">
            <w:pPr>
              <w:spacing w:after="0"/>
              <w:jc w:val="center"/>
              <w:rPr>
                <w:sz w:val="16"/>
              </w:rPr>
            </w:pPr>
            <w:r w:rsidRPr="004124EC">
              <w:rPr>
                <w:sz w:val="16"/>
              </w:rPr>
              <w:t>88.56</w:t>
            </w:r>
          </w:p>
        </w:tc>
        <w:tc>
          <w:tcPr>
            <w:tcW w:w="435" w:type="pct"/>
            <w:vAlign w:val="center"/>
          </w:tcPr>
          <w:p w14:paraId="6EC83A12" w14:textId="77777777" w:rsidR="00F00DD8" w:rsidRPr="004124EC" w:rsidRDefault="00F00DD8" w:rsidP="004124EC">
            <w:pPr>
              <w:spacing w:after="0"/>
              <w:jc w:val="center"/>
              <w:rPr>
                <w:sz w:val="16"/>
              </w:rPr>
            </w:pPr>
            <w:r w:rsidRPr="004124EC">
              <w:rPr>
                <w:sz w:val="16"/>
              </w:rPr>
              <w:t>1.44</w:t>
            </w:r>
          </w:p>
        </w:tc>
        <w:tc>
          <w:tcPr>
            <w:tcW w:w="436" w:type="pct"/>
            <w:vAlign w:val="center"/>
          </w:tcPr>
          <w:p w14:paraId="1268B16A" w14:textId="77777777" w:rsidR="00F00DD8" w:rsidRPr="004124EC" w:rsidRDefault="00F00DD8" w:rsidP="004124EC">
            <w:pPr>
              <w:spacing w:after="0"/>
              <w:jc w:val="center"/>
              <w:rPr>
                <w:sz w:val="16"/>
              </w:rPr>
            </w:pPr>
            <w:r w:rsidRPr="004124EC">
              <w:rPr>
                <w:sz w:val="16"/>
              </w:rPr>
              <w:t>10</w:t>
            </w:r>
          </w:p>
        </w:tc>
        <w:tc>
          <w:tcPr>
            <w:tcW w:w="780" w:type="pct"/>
            <w:vAlign w:val="center"/>
          </w:tcPr>
          <w:p w14:paraId="556AE023" w14:textId="77777777" w:rsidR="00F00DD8" w:rsidRPr="004124EC" w:rsidRDefault="00F00DD8" w:rsidP="004124EC">
            <w:pPr>
              <w:spacing w:after="0"/>
              <w:jc w:val="center"/>
              <w:rPr>
                <w:sz w:val="16"/>
              </w:rPr>
            </w:pPr>
            <w:r w:rsidRPr="004124EC">
              <w:rPr>
                <w:sz w:val="16"/>
              </w:rPr>
              <w:t>1450</w:t>
            </w:r>
          </w:p>
        </w:tc>
        <w:tc>
          <w:tcPr>
            <w:tcW w:w="586" w:type="pct"/>
            <w:vAlign w:val="center"/>
          </w:tcPr>
          <w:p w14:paraId="00257423" w14:textId="77777777" w:rsidR="00F00DD8" w:rsidRPr="004124EC" w:rsidRDefault="00F00DD8" w:rsidP="004124EC">
            <w:pPr>
              <w:spacing w:after="0"/>
              <w:jc w:val="center"/>
              <w:rPr>
                <w:sz w:val="16"/>
              </w:rPr>
            </w:pPr>
            <w:r w:rsidRPr="004124EC">
              <w:rPr>
                <w:sz w:val="16"/>
              </w:rPr>
              <w:t>K-silicate</w:t>
            </w:r>
          </w:p>
        </w:tc>
        <w:tc>
          <w:tcPr>
            <w:tcW w:w="580" w:type="pct"/>
            <w:vAlign w:val="center"/>
          </w:tcPr>
          <w:p w14:paraId="37E518E4" w14:textId="77777777" w:rsidR="00F00DD8" w:rsidRPr="004124EC" w:rsidRDefault="00F00DD8" w:rsidP="004124EC">
            <w:pPr>
              <w:spacing w:after="0"/>
              <w:jc w:val="center"/>
              <w:rPr>
                <w:sz w:val="16"/>
              </w:rPr>
            </w:pPr>
            <w:r w:rsidRPr="004124EC">
              <w:rPr>
                <w:sz w:val="16"/>
              </w:rPr>
              <w:t>0.25</w:t>
            </w:r>
          </w:p>
        </w:tc>
        <w:tc>
          <w:tcPr>
            <w:tcW w:w="581" w:type="pct"/>
            <w:vAlign w:val="center"/>
          </w:tcPr>
          <w:p w14:paraId="6AF8A2D1" w14:textId="77777777" w:rsidR="00F00DD8" w:rsidRPr="004124EC" w:rsidRDefault="00F00DD8" w:rsidP="004124EC">
            <w:pPr>
              <w:spacing w:after="0"/>
              <w:jc w:val="center"/>
              <w:rPr>
                <w:sz w:val="16"/>
              </w:rPr>
            </w:pPr>
            <w:r w:rsidRPr="004124EC">
              <w:rPr>
                <w:sz w:val="16"/>
              </w:rPr>
              <w:t>No</w:t>
            </w:r>
          </w:p>
        </w:tc>
        <w:tc>
          <w:tcPr>
            <w:tcW w:w="579" w:type="pct"/>
            <w:vAlign w:val="center"/>
          </w:tcPr>
          <w:p w14:paraId="5F8B18CC" w14:textId="77777777" w:rsidR="00F00DD8" w:rsidRPr="004124EC" w:rsidRDefault="00F00DD8" w:rsidP="004124EC">
            <w:pPr>
              <w:spacing w:after="0"/>
              <w:jc w:val="center"/>
              <w:rPr>
                <w:sz w:val="16"/>
              </w:rPr>
            </w:pPr>
            <w:r w:rsidRPr="004124EC">
              <w:rPr>
                <w:sz w:val="16"/>
              </w:rPr>
              <w:t>90 ± 4.0</w:t>
            </w:r>
          </w:p>
        </w:tc>
      </w:tr>
    </w:tbl>
    <w:p w14:paraId="0859B7DE" w14:textId="77777777" w:rsidR="00F00DD8" w:rsidRDefault="00F00DD8" w:rsidP="00894BFE"/>
    <w:p w14:paraId="74EF75D2" w14:textId="2729D6C7" w:rsidR="00F00DD8" w:rsidRDefault="00F00DD8" w:rsidP="00894BFE">
      <w:r>
        <w:t>Rather than model the actual lab</w:t>
      </w:r>
      <w:r w:rsidR="00A56AFC">
        <w:t>oratory</w:t>
      </w:r>
      <w:r>
        <w:t xml:space="preserve"> scale processes, a number of assumptions were made to theoretically scale up the designs to industrial scale. This allows us to draw conclusions relevant to the anticipated industrial application of the newly proposed technology. These assumptions are outlined in section </w:t>
      </w:r>
      <w:r>
        <w:fldChar w:fldCharType="begin"/>
      </w:r>
      <w:r>
        <w:instrText xml:space="preserve"> REF _Ref495312007 \r \h </w:instrText>
      </w:r>
      <w:r>
        <w:fldChar w:fldCharType="separate"/>
      </w:r>
      <w:r w:rsidR="002B1423">
        <w:t>3.3.2</w:t>
      </w:r>
      <w:r>
        <w:fldChar w:fldCharType="end"/>
      </w:r>
      <w:r>
        <w:t xml:space="preserve"> below, and described in detail in the supplementary materials.</w:t>
      </w:r>
    </w:p>
    <w:p w14:paraId="231D9C83" w14:textId="1CC721D3" w:rsidR="00B43A47" w:rsidRDefault="00F00DD8" w:rsidP="00B43A47">
      <w:r>
        <w:t xml:space="preserve">LCOPT, a python based software for creating fully parameterised LCA foreground models </w:t>
      </w:r>
      <w:r>
        <w:fldChar w:fldCharType="begin" w:fldLock="1"/>
      </w:r>
      <w:r w:rsidR="000E418E">
        <w:instrText>ADDIN CSL_CITATION {"citationItems":[{"id":"ITEM-1","itemData":{"DOI":"10.21105/joss.00339","ISSN":"2475-9066","abstract":"Lcopt is an open source Python package for creating fully parameterised Life Cycle Assessment (LCA) foreground models. Lcopt includes an intuitive Flask (Ronacher 2017) based user interface to greatly simplify the modelling process for LCA practitioners and researchers. Background Life Cycle Inventory (LCI) data from the ecoinvent 3.3 database (Ecoinvent Centre 2016), or the FORWAST I/O database (Forwast 2007) can be linked to the foreground models. Models are created by drawing flow sheets. Each link in the flow sheet is assigned a parameter which can either be set directly or calculted using user defined functions. Any number of parameter sets representing variations of the model can be created in order to undertake scenario analysis and options appraisal. Once created, the models can be analysed directly from within the Flask interface, utilising Brightway (Mutel 2017) to generate the LCA results. This includes hotspot identification, process contribution and scenario comparison. If required, the models can also be exported to commonly used LCA softwares (Brightway (Mutel 2017) and SimaPro (Pre Sustainability 2014)) for further, more comprehensive analysis. The source code repository is hosted on github (Joyce 2017b) and full online documentation is available (Joyce 2017a).","author":[{"dropping-particle":"","family":"Joyce","given":"P. James","non-dropping-particle":"","parse-names":false,"suffix":""}],"container-title":"The Journal of Open Source Software","id":"ITEM-1","issue":"16","issued":{"date-parts":[["2017","8","27"]]},"title":"Lcopt - An interactive tool for creating fully parameterised Life Cycle Assessment (LCA) foreground models","type":"article-journal","volume":"2"},"uris":["http://www.mendeley.com/documents/?uuid=af885763-0a28-497e-bb8d-edc0cc122339"]}],"mendeley":{"formattedCitation":"(Joyce, 2017)","plainTextFormattedCitation":"(Joyce, 2017)","previouslyFormattedCitation":"(Joyce, 2017)"},"properties":{"noteIndex":0},"schema":"https://github.com/citation-style-language/schema/raw/master/csl-citation.json"}</w:instrText>
      </w:r>
      <w:r>
        <w:fldChar w:fldCharType="separate"/>
      </w:r>
      <w:r w:rsidRPr="009875A7">
        <w:rPr>
          <w:noProof/>
        </w:rPr>
        <w:t>(Joyce, 2017)</w:t>
      </w:r>
      <w:r>
        <w:fldChar w:fldCharType="end"/>
      </w:r>
      <w:r>
        <w:t>, was used to model the scaled up systems. A single model consisting of all of the possible inputs and outputs to each unit process, and the links between the unit processes</w:t>
      </w:r>
      <w:r w:rsidR="00EF378F">
        <w:t>,</w:t>
      </w:r>
      <w:r>
        <w:t xml:space="preserve"> was created. Each of the mix designs was then described by giving the model a parameter set with the correct quantities for each of the flows (unused inputs are given a flow quantity of zero). These parameters can be set directly or by mathematical functions. Using mathematical functions in our modelling approach allows both greater consistency in modelling (e.g. ensuring percentages add to 100), and also allows mathematical relationships between flows to be modelled explicitly within the LCA foreground model itself. The full parameter sets are included in the supplementary materials. LCA results were calculated using </w:t>
      </w:r>
      <w:proofErr w:type="spellStart"/>
      <w:r>
        <w:t>Brightway</w:t>
      </w:r>
      <w:proofErr w:type="spellEnd"/>
      <w:r>
        <w:t xml:space="preserve"> </w:t>
      </w:r>
      <w:r>
        <w:fldChar w:fldCharType="begin" w:fldLock="1"/>
      </w:r>
      <w:r w:rsidR="000E418E">
        <w:instrText>ADDIN CSL_CITATION {"citationItems":[{"id":"ITEM-1","itemData":{"DOI":"10.21105/joss.00236","author":[{"dropping-particle":"","family":"Mutel","given":"Chris","non-dropping-particle":"","parse-names":false,"suffix":""}],"container-title":"The Journal of Open Source Software","id":"ITEM-1","issue":"12","issued":{"date-parts":[["2017","4"]]},"publisher":"The Open Journal","title":"Brightway: An open source framework for Life Cycle Assessment","type":"article-journal","volume":"2"},"uris":["http://www.mendeley.com/documents/?uuid=4893e696-350f-4125-8fda-ff38c9031600"]}],"mendeley":{"formattedCitation":"(Mutel, 2017)","plainTextFormattedCitation":"(Mutel, 2017)","previouslyFormattedCitation":"(Mutel, 2017)"},"properties":{"noteIndex":0},"schema":"https://github.com/citation-style-language/schema/raw/master/csl-citation.json"}</w:instrText>
      </w:r>
      <w:r>
        <w:fldChar w:fldCharType="separate"/>
      </w:r>
      <w:r w:rsidRPr="009875A7">
        <w:rPr>
          <w:noProof/>
        </w:rPr>
        <w:t>(Mutel, 2017)</w:t>
      </w:r>
      <w:r>
        <w:fldChar w:fldCharType="end"/>
      </w:r>
      <w:r>
        <w:t>, which interfaces directly with LCOPT. Results were visualised using LCOPT.</w:t>
      </w:r>
      <w:r w:rsidR="00B43A47">
        <w:br w:type="page"/>
      </w:r>
    </w:p>
    <w:p w14:paraId="749B750F" w14:textId="77777777" w:rsidR="00F00DD8" w:rsidRDefault="00F00DD8" w:rsidP="00245430">
      <w:pPr>
        <w:pStyle w:val="Heading2"/>
      </w:pPr>
      <w:r>
        <w:lastRenderedPageBreak/>
        <w:t>Anticipatory LCA</w:t>
      </w:r>
    </w:p>
    <w:p w14:paraId="0AE6C287" w14:textId="77777777" w:rsidR="00F00DD8" w:rsidRDefault="00F00DD8" w:rsidP="009E200E">
      <w:pPr>
        <w:pStyle w:val="Heading3"/>
      </w:pPr>
      <w:r>
        <w:t>Scope of LCA Study</w:t>
      </w:r>
    </w:p>
    <w:p w14:paraId="51C1751B" w14:textId="7FA13C32" w:rsidR="00F00DD8" w:rsidRDefault="00F00DD8" w:rsidP="00894BFE">
      <w:r>
        <w:t xml:space="preserve">The product system describes the hypothetical production of paving blocks made from high BR content IPs at an alumina refinery in Greece, using existing infrastructure. </w:t>
      </w:r>
      <w:r w:rsidR="00FA4393">
        <w:t xml:space="preserve">In LCA, the life cycle impacts of a product system are calculated relative to a quantified and well defined measure of the function of the product created, known as the functional unit. This allows for fair comparisons to be made between divergent product systems producing functionally equivalent items. </w:t>
      </w:r>
      <w:r w:rsidR="00A07B59">
        <w:t xml:space="preserve">The function of paving blocks is to provide a paved surface over a given area. The densities of the paving blocks differ between mix designs, meaning that a mass based functional unit </w:t>
      </w:r>
      <w:r w:rsidR="00941F4B">
        <w:t>would</w:t>
      </w:r>
      <w:r w:rsidR="00A07B59">
        <w:t xml:space="preserve"> not provide a fair comparison on the basis of function</w:t>
      </w:r>
      <w:r w:rsidR="00941F4B">
        <w:t xml:space="preserve"> in this study</w:t>
      </w:r>
      <w:r w:rsidR="00A07B59">
        <w:t xml:space="preserve">. An area based functional unit </w:t>
      </w:r>
      <w:r w:rsidR="00FA4393">
        <w:t>(1 m</w:t>
      </w:r>
      <w:r w:rsidR="00FA4393" w:rsidRPr="007930BC">
        <w:rPr>
          <w:vertAlign w:val="superscript"/>
        </w:rPr>
        <w:t>2</w:t>
      </w:r>
      <w:r w:rsidR="00FA4393">
        <w:t xml:space="preserve">) </w:t>
      </w:r>
      <w:r w:rsidR="00A07B59">
        <w:t xml:space="preserve">was therefore chosen. </w:t>
      </w:r>
      <w:r w:rsidR="00FA4393">
        <w:t>Paving blocks for d</w:t>
      </w:r>
      <w:r w:rsidR="00FA4393" w:rsidRPr="00FA4393">
        <w:t xml:space="preserve">riveways, </w:t>
      </w:r>
      <w:r w:rsidR="00FA4393">
        <w:t>p</w:t>
      </w:r>
      <w:r w:rsidR="00FA4393" w:rsidRPr="00FA4393">
        <w:t>at</w:t>
      </w:r>
      <w:r w:rsidR="00FA4393">
        <w:t>ios, pathways and footways</w:t>
      </w:r>
      <w:r w:rsidR="00760CD3">
        <w:t xml:space="preserve"> ar</w:t>
      </w:r>
      <w:r w:rsidR="00FA4393">
        <w:t xml:space="preserve">e typically 50 mm thick </w:t>
      </w:r>
      <w:r w:rsidR="001075AE">
        <w:fldChar w:fldCharType="begin" w:fldLock="1"/>
      </w:r>
      <w:r w:rsidR="000E418E">
        <w:instrText>ADDIN CSL_CITATION {"citationItems":[{"id":"ITEM-1","itemData":{"author":[{"dropping-particle":"","family":"Interpave","given":"","non-dropping-particle":"","parse-names":false,"suffix":""}],"id":"ITEM-1","issue":"May","issued":{"date-parts":[["2012"]]},"title":"Guide to the properties, design, construction, reinstatement and maintenance of concrete blocks pavements","type":"article-journal","volume":"Edition 2"},"uris":["http://www.mendeley.com/documents/?uuid=4fd6cd1a-4fd8-4811-b9ac-bcf991db8f37"]}],"mendeley":{"formattedCitation":"(Interpave, 2012)","plainTextFormattedCitation":"(Interpave, 2012)","previouslyFormattedCitation":"(Interpave, 2012)"},"properties":{"noteIndex":0},"schema":"https://github.com/citation-style-language/schema/raw/master/csl-citation.json"}</w:instrText>
      </w:r>
      <w:r w:rsidR="001075AE">
        <w:fldChar w:fldCharType="separate"/>
      </w:r>
      <w:r w:rsidR="001075AE" w:rsidRPr="001075AE">
        <w:rPr>
          <w:noProof/>
        </w:rPr>
        <w:t>(Interpave, 2012)</w:t>
      </w:r>
      <w:r w:rsidR="001075AE">
        <w:fldChar w:fldCharType="end"/>
      </w:r>
      <w:r w:rsidR="00941F4B">
        <w:t>, therefore a block thickness of 50 mm is assumed</w:t>
      </w:r>
      <w:r w:rsidR="00FA4393">
        <w:t xml:space="preserve">. </w:t>
      </w:r>
      <w:r w:rsidR="00A07B59">
        <w:t xml:space="preserve">In order to account for use phase impacts, a design life for the paving blocks must be specified. A design life of 20 years is typically specified for concrete block paving in </w:t>
      </w:r>
      <w:r w:rsidR="00810139">
        <w:t xml:space="preserve">both </w:t>
      </w:r>
      <w:r w:rsidR="00A07B59">
        <w:t xml:space="preserve">industry guidance documents </w:t>
      </w:r>
      <w:r w:rsidR="00810139">
        <w:fldChar w:fldCharType="begin" w:fldLock="1"/>
      </w:r>
      <w:r w:rsidR="000E418E">
        <w:instrText>ADDIN CSL_CITATION {"citationItems":[{"id":"ITEM-1","itemData":{"author":[{"dropping-particle":"","family":"Interpave","given":"","non-dropping-particle":"","parse-names":false,"suffix":""}],"id":"ITEM-1","issue":"May","issued":{"date-parts":[["2012"]]},"title":"Guide to the properties, design, construction, reinstatement and maintenance of concrete blocks pavements","type":"article-journal","volume":"Edition 2"},"uris":["http://www.mendeley.com/documents/?uuid=4fd6cd1a-4fd8-4811-b9ac-bcf991db8f37"]},{"id":"ITEM-2","itemData":{"author":[{"dropping-particle":"","family":"Bureau of Indian Standards","given":"","non-dropping-particle":"","parse-names":false,"suffix":""}],"id":"ITEM-2","issued":{"date-parts":[["2006"]]},"title":"BIS:15658: Indian Standard for Precast Concrete Blocks For Paving","type":"report"},"uris":["http://www.mendeley.com/documents/?uuid=f75ead31-6e55-4017-a953-549bb79a168f"]},{"id":"ITEM-3","itemData":{"author":[{"dropping-particle":"","family":"Concrete Manufacturers Association","given":"","non-dropping-particle":"","parse-names":false,"suffix":""}],"id":"ITEM-3","issued":{"date-parts":[["2004"]]},"title":"Concrete Block Paving: Book 2 – Design Aspects","type":"article-journal"},"uris":["http://www.mendeley.com/documents/?uuid=fe92d26b-bd44-4bb6-b6a1-414ca828af18"]}],"mendeley":{"formattedCitation":"(Bureau of Indian Standards, 2006; Concrete Manufacturers Association, 2004; Interpave, 2012)","plainTextFormattedCitation":"(Bureau of Indian Standards, 2006; Concrete Manufacturers Association, 2004; Interpave, 2012)","previouslyFormattedCitation":"(Bureau of Indian Standards, 2006; Concrete Manufacturers Association, 2004; Interpave, 2012)"},"properties":{"noteIndex":0},"schema":"https://github.com/citation-style-language/schema/raw/master/csl-citation.json"}</w:instrText>
      </w:r>
      <w:r w:rsidR="00810139">
        <w:fldChar w:fldCharType="separate"/>
      </w:r>
      <w:r w:rsidR="00A22A27" w:rsidRPr="00A22A27">
        <w:rPr>
          <w:noProof/>
        </w:rPr>
        <w:t>(Bureau of Indian Standards, 2006; Concrete Manufacturers Association, 2004; Interpave, 2012)</w:t>
      </w:r>
      <w:r w:rsidR="00810139">
        <w:fldChar w:fldCharType="end"/>
      </w:r>
      <w:r w:rsidR="00A07B59">
        <w:t xml:space="preserve"> </w:t>
      </w:r>
      <w:r w:rsidR="00810139">
        <w:t xml:space="preserve">and academic literature </w:t>
      </w:r>
      <w:r w:rsidR="00810139">
        <w:fldChar w:fldCharType="begin" w:fldLock="1"/>
      </w:r>
      <w:r w:rsidR="000E418E">
        <w:instrText>ADDIN CSL_CITATION {"citationItems":[{"id":"ITEM-1","itemData":{"DOI":"10.1061/(ASCE)0733-947X(1990)116:5(615)","ISSN":"0733-947X","author":[{"dropping-particle":"","family":"Rada","given":"G","non-dropping-particle":"","parse-names":false,"suffix":""},{"dropping-particle":"","family":"Smith","given":"David R","non-dropping-particle":"","parse-names":false,"suffix":""},{"dropping-particle":"","family":"Miller","given":"J","non-dropping-particle":"","parse-names":false,"suffix":""},{"dropping-particle":"","family":"Witczak","given":"M","non-dropping-particle":"","parse-names":false,"suffix":""}],"container-title":"Journal of Transportation Engineering","id":"ITEM-1","issue":"5","issued":{"date-parts":[["1990"]]},"page":"615-635","title":"Structural Design of Concrete Block Pavements","type":"article-journal","volume":"116"},"uris":["http://www.mendeley.com/documents/?uuid=fca354a5-acee-4836-bf76-31fa050d836c"]},{"id":"ITEM-2","itemData":{"author":[{"dropping-particle":"","family":"Sharma","given":"Poonam","non-dropping-particle":"","parse-names":false,"suffix":""},{"dropping-particle":"","family":"Batra","given":"Ramesh Kumar","non-dropping-particle":"","parse-names":false,"suffix":""},{"dropping-particle":"","family":"Scholar","given":"P G","non-dropping-particle":"","parse-names":false,"suffix":""},{"dropping-particle":"","family":"Engg","given":"Civil","non-dropping-particle":"","parse-names":false,"suffix":""},{"dropping-particle":"","family":"Engg","given":"Civil","non-dropping-particle":"","parse-names":false,"suffix":""}],"id":"ITEM-2","issue":"1","issued":{"date-parts":[["2016"]]},"title":"Cement Concrete Paver Blocks for Rural Roads","type":"article-journal"},"uris":["http://www.mendeley.com/documents/?uuid=9c76b195-4447-433f-8954-8b730fae5e25"]}],"mendeley":{"formattedCitation":"(Rada et al., 1990; Sharma et al., 2016)","plainTextFormattedCitation":"(Rada et al., 1990; Sharma et al., 2016)","previouslyFormattedCitation":"(Rada et al., 1990; Sharma et al., 2016)"},"properties":{"noteIndex":0},"schema":"https://github.com/citation-style-language/schema/raw/master/csl-citation.json"}</w:instrText>
      </w:r>
      <w:r w:rsidR="00810139">
        <w:fldChar w:fldCharType="separate"/>
      </w:r>
      <w:r w:rsidR="00810139" w:rsidRPr="00810139">
        <w:rPr>
          <w:noProof/>
        </w:rPr>
        <w:t>(Rada et al., 1990; Sharma et al., 2016)</w:t>
      </w:r>
      <w:r w:rsidR="00810139">
        <w:fldChar w:fldCharType="end"/>
      </w:r>
      <w:r w:rsidR="00810139">
        <w:t>. T</w:t>
      </w:r>
      <w:r w:rsidR="00A07B59">
        <w:t xml:space="preserve">herefore a lifetime of 20 years is assumed in this study. </w:t>
      </w:r>
      <w:r>
        <w:t>The functional unit used in this study was</w:t>
      </w:r>
      <w:r w:rsidR="00A07B59">
        <w:t xml:space="preserve"> therefore</w:t>
      </w:r>
      <w:r>
        <w:t xml:space="preserve"> </w:t>
      </w:r>
      <w:r w:rsidRPr="007930BC">
        <w:rPr>
          <w:i/>
        </w:rPr>
        <w:t>the provision of 1 m</w:t>
      </w:r>
      <w:r w:rsidRPr="007930BC">
        <w:rPr>
          <w:i/>
          <w:vertAlign w:val="superscript"/>
        </w:rPr>
        <w:t xml:space="preserve">2 </w:t>
      </w:r>
      <w:r w:rsidRPr="007930BC">
        <w:rPr>
          <w:i/>
        </w:rPr>
        <w:t xml:space="preserve">of paving blocks, of </w:t>
      </w:r>
      <w:r w:rsidR="00782495" w:rsidRPr="007930BC">
        <w:rPr>
          <w:i/>
        </w:rPr>
        <w:t>thickness</w:t>
      </w:r>
      <w:r w:rsidRPr="007930BC">
        <w:rPr>
          <w:i/>
        </w:rPr>
        <w:t xml:space="preserve"> 5</w:t>
      </w:r>
      <w:r w:rsidR="001075AE">
        <w:rPr>
          <w:i/>
        </w:rPr>
        <w:t>0</w:t>
      </w:r>
      <w:r w:rsidRPr="007930BC">
        <w:rPr>
          <w:i/>
        </w:rPr>
        <w:t xml:space="preserve"> </w:t>
      </w:r>
      <w:r w:rsidR="001075AE">
        <w:rPr>
          <w:i/>
        </w:rPr>
        <w:t>m</w:t>
      </w:r>
      <w:r w:rsidRPr="007930BC">
        <w:rPr>
          <w:i/>
        </w:rPr>
        <w:t xml:space="preserve">m, with </w:t>
      </w:r>
      <w:r w:rsidR="00894BFE" w:rsidRPr="007930BC">
        <w:rPr>
          <w:i/>
        </w:rPr>
        <w:t>a</w:t>
      </w:r>
      <w:r w:rsidRPr="007930BC">
        <w:rPr>
          <w:i/>
        </w:rPr>
        <w:t xml:space="preserve"> </w:t>
      </w:r>
      <w:r w:rsidR="00A07B59" w:rsidRPr="007930BC">
        <w:rPr>
          <w:i/>
        </w:rPr>
        <w:t xml:space="preserve">design </w:t>
      </w:r>
      <w:r w:rsidRPr="007930BC">
        <w:rPr>
          <w:i/>
        </w:rPr>
        <w:t>life of 20 years, corresponding to a volume of 0.05 m</w:t>
      </w:r>
      <w:r w:rsidRPr="007930BC">
        <w:rPr>
          <w:i/>
          <w:vertAlign w:val="superscript"/>
        </w:rPr>
        <w:t>3</w:t>
      </w:r>
      <w:r w:rsidRPr="007930BC">
        <w:rPr>
          <w:i/>
        </w:rPr>
        <w:t>.</w:t>
      </w:r>
      <w:r w:rsidR="00A07B59">
        <w:t xml:space="preserve"> </w:t>
      </w:r>
    </w:p>
    <w:p w14:paraId="47B20F5C" w14:textId="477BDEBA" w:rsidR="0003241E" w:rsidRDefault="00F00DD8" w:rsidP="00894BFE">
      <w:r>
        <w:t xml:space="preserve">A cradle to grave analysis was performed, including the extraction of raw materials, the production of the blocks, a </w:t>
      </w:r>
      <w:r w:rsidR="00782495">
        <w:t>20-year</w:t>
      </w:r>
      <w:r>
        <w:t xml:space="preserve"> use phase and final disposal. </w:t>
      </w:r>
      <w:r w:rsidR="00C92B11">
        <w:t xml:space="preserve">As disposal is assumed to take place 20 years in the future, </w:t>
      </w:r>
      <w:r>
        <w:t xml:space="preserve">it is assumed that the 2020 target of the EU Waste Framework Directive </w:t>
      </w:r>
      <w:r w:rsidR="00EF378F">
        <w:fldChar w:fldCharType="begin" w:fldLock="1"/>
      </w:r>
      <w:r w:rsidR="002B1423">
        <w:instrText>ADDIN CSL_CITATION {"citationItems":[{"id":"ITEM-1","itemData":{"DOI":"2008/98/EC.; 32008L0098","ISBN":"DIRECTIVE 2008/98/EC","abstract":"The essential objective of all provisions relating to waste disposal must be the protection of human health and the environment against harmful effects caused by the collection, transport, treatment, storage and tipping of waste. It introduces an approach that takes into account the whole life-cycle of products and materials and not only the waste phase. Member States shall take appropriate steps to focus on reducing the environmental impacts of waste generation and waste management, thereby strengthening the economic value of waste. Furthermore, the recovery of waste and the use of recovered materials should be encouraged in order to conserve natural resources. In order to ensure the protection of the environment, provisions have been made for a system of permits for undertakings which treat, store or tip waste on behalf of third parties, for a supervisory system for undertakings which dispose of their own waste and for those which collect the waste of others, and for a plan embracing the essential factors to be taken into consideration in respect of the various waste disposal operations. This directive strengthens the provisions relating to wasted prevention and energy efficiency.","author":[{"dropping-particle":"","family":"European Commission","given":"","non-dropping-particle":"","parse-names":false,"suffix":""}],"container-title":"Official Journal of the Europian Union","id":"ITEM-1","issued":{"date-parts":[["2008"]]},"page":"3-30","title":"Directive 2008/98/EC of the European Parliament and of the Council of 19 November 2008 on waste and repealing certain directives","type":"article-journal","volume":"L13"},"suffix":"/98/EC","suppress-author":1,"uris":["http://www.mendeley.com/documents/?uuid=2d6bf734-5707-4803-b6c7-0be977e842a8"]}],"mendeley":{"formattedCitation":"(2008/98/EC)","plainTextFormattedCitation":"(2008/98/EC)","previouslyFormattedCitation":"(2008/98/EC)"},"properties":{"noteIndex":0},"schema":"https://github.com/citation-style-language/schema/raw/master/csl-citation.json"}</w:instrText>
      </w:r>
      <w:r w:rsidR="00EF378F">
        <w:fldChar w:fldCharType="separate"/>
      </w:r>
      <w:r w:rsidR="00EF378F" w:rsidRPr="00EF378F">
        <w:rPr>
          <w:noProof/>
        </w:rPr>
        <w:t>(2008/98/EC)</w:t>
      </w:r>
      <w:r w:rsidR="00EF378F">
        <w:fldChar w:fldCharType="end"/>
      </w:r>
      <w:r>
        <w:t xml:space="preserve"> of 70% recycling of construction and demolition waste has been reached</w:t>
      </w:r>
      <w:r w:rsidR="00C92B11">
        <w:t xml:space="preserve">. 70% of the blocks are therefore assumed to </w:t>
      </w:r>
      <w:r w:rsidR="00B27BEB">
        <w:t xml:space="preserve">be recycled, </w:t>
      </w:r>
      <w:r>
        <w:t>with the remaining 30% disposed of in inert materials landfill.</w:t>
      </w:r>
      <w:r w:rsidR="00894BFE">
        <w:t xml:space="preserve"> </w:t>
      </w:r>
    </w:p>
    <w:p w14:paraId="05B67244" w14:textId="32FCB37D" w:rsidR="00F00DD8" w:rsidRDefault="00F00DD8" w:rsidP="00894BFE">
      <w:r>
        <w:t xml:space="preserve">Transport of blocks to the point of use, </w:t>
      </w:r>
      <w:r w:rsidR="00EF378F">
        <w:t xml:space="preserve">and their </w:t>
      </w:r>
      <w:r>
        <w:t xml:space="preserve">installation and removal are excluded from the scope of this study. </w:t>
      </w:r>
      <w:r w:rsidR="0003241E">
        <w:t xml:space="preserve">The distance between the hypothetical production and installation locations is both a highly uncertain parameter and one which cannot actively be influenced by the research and development process, and it is therefore not included in the baseline model for hotspot identification. It is important however to understand the potential magnitude of </w:t>
      </w:r>
      <w:r w:rsidR="00321D9E">
        <w:t xml:space="preserve">such </w:t>
      </w:r>
      <w:r w:rsidR="0003241E">
        <w:t xml:space="preserve">transport impacts, therefore a sensitivity analysis including two different transport distances (50 km and 300 km) was carried out. These values were chosen based on the guidance contained within the European Energy Efficient Building guidance document for LCA of building products </w:t>
      </w:r>
      <w:r w:rsidR="0003241E">
        <w:fldChar w:fldCharType="begin" w:fldLock="1"/>
      </w:r>
      <w:r w:rsidR="000E418E">
        <w:instrText>ADDIN CSL_CITATION {"citationItems":[{"id":"ITEM-1","itemData":{"author":[{"dropping-particle":"","family":"Wittstock","given":"Bastian","non-dropping-particle":"","parse-names":false,"suffix":""},{"dropping-particle":"","family":"Gantner","given":"Johannes","non-dropping-particle":"","parse-names":false,"suffix":""},{"dropping-particle":"","family":"Lenz","given":"Katrin","non-dropping-particle":"","parse-names":false,"suffix":""},{"dropping-particle":"","family":"Saunders","given":"Tom","non-dropping-particle":"","parse-names":false,"suffix":""},{"dropping-particle":"","family":"Anderson","given":"Jane","non-dropping-particle":"","parse-names":false,"suffix":""},{"dropping-particle":"","family":"Carter","given":"Claire","non-dropping-particle":"","parse-names":false,"suffix":""},{"dropping-particle":"","family":"Gyetvai","given":"Zsoka","non-dropping-particle":"","parse-names":false,"suffix":""},{"dropping-particle":"","family":"Kreißig","given":"Johannes","non-dropping-particle":"","parse-names":false,"suffix":""},{"dropping-particle":"","family":"Braune","given":"Anna","non-dropping-particle":"","parse-names":false,"suffix":""},{"dropping-particle":"","family":"Lasvaux","given":"Sébastien","non-dropping-particle":"","parse-names":false,"suffix":""},{"dropping-particle":"","family":"Bosdevigie","given":"Boris","non-dropping-particle":"","parse-names":false,"suffix":""},{"dropping-particle":"","family":"Bazzana","given":"Manuel","non-dropping-particle":"","parse-names":false,"suffix":""},{"dropping-particle":"","family":"Schiopu","given":"Nicoleta","non-dropping-particle":"","parse-names":false,"suffix":""},{"dropping-particle":"","family":"Jayr","given":"Emmanuel","non-dropping-particle":"","parse-names":false,"suffix":""},{"dropping-particle":"","family":"Nibel","given":"Sylviane","non-dropping-particle":"","parse-names":false,"suffix":""},{"dropping-particle":"","family":"Chevalier","given":"Jacques","non-dropping-particle":"","parse-names":false,"suffix":""},{"dropping-particle":"","family":"Hans","given":"Julien","non-dropping-particle":"","parse-names":false,"suffix":""},{"dropping-particle":"","family":"Fullana-i-Palmer","given":"Pere","non-dropping-particle":"","parse-names":false,"suffix":""},{"dropping-particle":"","family":"Gazulla","given":"Cristina","non-dropping-particle":"","parse-names":false,"suffix":""},{"dropping-particle":"","family":"Mundy","given":"Jo-Anne","non-dropping-particle":"","parse-names":false,"suffix":""},{"dropping-particle":"","family":"Barrow-Williams","given":"Tim","non-dropping-particle":"","parse-names":false,"suffix":""},{"dropping-particle":"","family":"Sjöström","given":"Christer","non-dropping-particle":"","parse-names":false,"suffix":""}],"id":"ITEM-1","issued":{"date-parts":[["2011"]]},"page":"297","title":"EeBGuide Guidance Document","type":"article-journal"},"uris":["http://www.mendeley.com/documents/?uuid=76b8aa6c-2f19-45e1-bb31-150e8eab9671"]}],"mendeley":{"formattedCitation":"(Wittstock et al., 2011)","plainTextFormattedCitation":"(Wittstock et al., 2011)","previouslyFormattedCitation":"(Wittstock et al., 2011)"},"properties":{"noteIndex":0},"schema":"https://github.com/citation-style-language/schema/raw/master/csl-citation.json"}</w:instrText>
      </w:r>
      <w:r w:rsidR="0003241E">
        <w:fldChar w:fldCharType="separate"/>
      </w:r>
      <w:r w:rsidR="0003241E" w:rsidRPr="0003241E">
        <w:rPr>
          <w:noProof/>
        </w:rPr>
        <w:t>(Wittstock et al., 2011)</w:t>
      </w:r>
      <w:r w:rsidR="0003241E">
        <w:fldChar w:fldCharType="end"/>
      </w:r>
      <w:r w:rsidR="0003241E">
        <w:t>. In this document 300 km is suggested as a default assumption for the transport of all building products to site in the absence of specific data; however it is noted that according to Eurostat freight statistics, the majority of bulk products (of the category ‘Other non-metalling mineral products’) travel less than 50 km to site.</w:t>
      </w:r>
      <w:r w:rsidR="00321D9E">
        <w:t xml:space="preserve"> Transport is assumed to be by 32t EURO4 lorry.</w:t>
      </w:r>
    </w:p>
    <w:p w14:paraId="434A4BEE" w14:textId="2E8ADF69" w:rsidR="00F00DD8" w:rsidRDefault="00F00DD8" w:rsidP="00894BFE">
      <w:r>
        <w:t xml:space="preserve">The ecoinvent cut-off system model was used </w:t>
      </w:r>
      <w:r>
        <w:fldChar w:fldCharType="begin" w:fldLock="1"/>
      </w:r>
      <w:r w:rsidR="000E418E">
        <w:instrText>ADDIN CSL_CITATION {"citationItems":[{"id":"ITEM-1","itemData":{"DOI":"10.1007/s11367-016-1087-8","author":[{"dropping-particle":"","family":"Wernet","given":"G","non-dropping-particle":"","parse-names":false,"suffix":""},{"dropping-particle":"","family":"Bauer","given":"C","non-dropping-particle":"","parse-names":false,"suffix":""},{"dropping-particle":"","family":"Steubing","given":"B","non-dropping-particle":"","parse-names":false,"suffix":""},{"dropping-particle":"","family":"Reinhard","given":"J","non-dropping-particle":"","parse-names":false,"suffix":""},{"dropping-particle":"","family":"Moreno-Ruiz","given":"E","non-dropping-particle":"","parse-names":false,"suffix":""},{"dropping-particle":"","family":"Weidema","given":"B","non-dropping-particle":"","parse-names":false,"suffix":""}],"container-title":"International Journal of Life Cycle Assessment","id":"ITEM-1","issued":{"date-parts":[["2016"]]},"page":"1218-1230","title":"The ecoinvent database version 3 (part I): overview and methodology","type":"article-journal","volume":"21"},"uris":["http://www.mendeley.com/documents/?uuid=733db0b0-af8d-44a8-af1f-c5ac33cbbc26"]}],"mendeley":{"formattedCitation":"(Wernet et al., 2016)","plainTextFormattedCitation":"(Wernet et al., 2016)","previouslyFormattedCitation":"(Wernet et al., 2016)"},"properties":{"noteIndex":0},"schema":"https://github.com/citation-style-language/schema/raw/master/csl-citation.json"}</w:instrText>
      </w:r>
      <w:r>
        <w:fldChar w:fldCharType="separate"/>
      </w:r>
      <w:r w:rsidRPr="00863499">
        <w:rPr>
          <w:noProof/>
        </w:rPr>
        <w:t>(Wernet et al., 2016)</w:t>
      </w:r>
      <w:r>
        <w:fldChar w:fldCharType="end"/>
      </w:r>
      <w:r>
        <w:t xml:space="preserve">. </w:t>
      </w:r>
      <w:r w:rsidR="004124EC">
        <w:t xml:space="preserve">This is an attributional system model, with economic allocation utilised where allocation is necessary. </w:t>
      </w:r>
      <w:r>
        <w:t>Under this system model, a cut-off approach to recycling is used</w:t>
      </w:r>
      <w:r w:rsidR="00C92B11">
        <w:t>. Where materials are recycled</w:t>
      </w:r>
      <w:r w:rsidR="00B27BEB">
        <w:t>, a consistent approach is required to correctly allocate the environmental burdens and benefits to the system which produces the recyclable waste, and the system which carries out the recycling process. Under the cut-off system model,</w:t>
      </w:r>
      <w:r>
        <w:t xml:space="preserve"> </w:t>
      </w:r>
      <w:r w:rsidR="00B27BEB">
        <w:t xml:space="preserve">recyclable materials cross the system boundary at the point at which they are produced. As such, </w:t>
      </w:r>
      <w:r>
        <w:t>systems producing recyclable waste bear no burden</w:t>
      </w:r>
      <w:r w:rsidR="00B27BEB">
        <w:t xml:space="preserve"> </w:t>
      </w:r>
      <w:r>
        <w:t>from the processing of the material</w:t>
      </w:r>
      <w:r w:rsidR="00B27BEB">
        <w:t>, but equally gain no benefit from the displacement of materials resulting from the utilisation of the recycled products.</w:t>
      </w:r>
      <w:r>
        <w:t xml:space="preserve"> </w:t>
      </w:r>
      <w:r w:rsidR="00B27BEB">
        <w:t>S</w:t>
      </w:r>
      <w:r>
        <w:t xml:space="preserve">ystems utilising recyclable </w:t>
      </w:r>
      <w:r w:rsidR="00B27BEB">
        <w:t xml:space="preserve">wastes </w:t>
      </w:r>
      <w:r>
        <w:t>receive the material burden free</w:t>
      </w:r>
      <w:r w:rsidR="00B27BEB">
        <w:t>, as the burdens associated with their production are allocated entirely to the system which produced them, but bear the entire burden of their processing</w:t>
      </w:r>
      <w:r>
        <w:t>. Bauxite residue is assumed to be a recyclable waste of the alumina sector, and hence enters the system</w:t>
      </w:r>
      <w:r w:rsidR="00B27BEB">
        <w:t xml:space="preserve"> assessed in this study</w:t>
      </w:r>
      <w:r>
        <w:t xml:space="preserve"> burden free. Less than 3% of BR produced each year is used productively, with many millions of tonnes stockpiled </w:t>
      </w:r>
      <w:r>
        <w:fldChar w:fldCharType="begin" w:fldLock="1"/>
      </w:r>
      <w:r w:rsidR="000E418E">
        <w:instrText>ADDIN CSL_CITATION {"citationItems":[{"id":"ITEM-1","itemData":{"DOI":"10.1007/s40831-016-0060-x","ISSN":"2199-3823","author":[{"dropping-particle":"","family":"Evans","given":"Ken","non-dropping-particle":"","parse-names":false,"suffix":""}],"container-title":"Journal of Sustainable Metallurgy","id":"ITEM-1","issue":"4","issued":{"date-parts":[["2016","12","19"]]},"page":"316-331","publisher":"Springer International Publishing","title":"The History, Challenges, and New Developments in the Management and Use of Bauxite Residue","type":"article-journal","volume":"2"},"uris":["http://www.mendeley.com/documents/?uuid=015fb83f-d2a9-4553-b1bb-00f12c47936f"]}],"mendeley":{"formattedCitation":"(Evans, 2016)","plainTextFormattedCitation":"(Evans, 2016)","previouslyFormattedCitation":"(Evans, 2016)"},"properties":{"noteIndex":0},"schema":"https://github.com/citation-style-language/schema/raw/master/csl-citation.json"}</w:instrText>
      </w:r>
      <w:r>
        <w:fldChar w:fldCharType="separate"/>
      </w:r>
      <w:r w:rsidRPr="009E200E">
        <w:rPr>
          <w:noProof/>
        </w:rPr>
        <w:t>(Evans, 2016)</w:t>
      </w:r>
      <w:r>
        <w:fldChar w:fldCharType="end"/>
      </w:r>
      <w:r>
        <w:t xml:space="preserve">. This serves to highlight its negligible current economic value and confirm that it should </w:t>
      </w:r>
      <w:r w:rsidR="00B27BEB">
        <w:t xml:space="preserve">be considered a recyclable waste </w:t>
      </w:r>
      <w:r w:rsidR="00B27BEB">
        <w:lastRenderedPageBreak/>
        <w:t xml:space="preserve">and </w:t>
      </w:r>
      <w:r>
        <w:t xml:space="preserve">not an </w:t>
      </w:r>
      <w:proofErr w:type="spellStart"/>
      <w:r>
        <w:t>allocatable</w:t>
      </w:r>
      <w:proofErr w:type="spellEnd"/>
      <w:r>
        <w:t xml:space="preserve"> co-product.</w:t>
      </w:r>
      <w:r w:rsidR="00EF378F">
        <w:t xml:space="preserve"> </w:t>
      </w:r>
      <w:r w:rsidR="00B27BEB">
        <w:t>T</w:t>
      </w:r>
      <w:r w:rsidR="004124EC">
        <w:t xml:space="preserve">he 70% of </w:t>
      </w:r>
      <w:r w:rsidR="00EF378F">
        <w:t xml:space="preserve">the </w:t>
      </w:r>
      <w:r w:rsidR="004124EC">
        <w:t>blocks</w:t>
      </w:r>
      <w:r w:rsidR="00EF378F">
        <w:t xml:space="preserve"> recycled at end of life</w:t>
      </w:r>
      <w:r w:rsidR="00B27BEB">
        <w:t xml:space="preserve"> leave the system boundary, and hence</w:t>
      </w:r>
      <w:r w:rsidR="00B27BEB" w:rsidRPr="00B27BEB">
        <w:t xml:space="preserve"> </w:t>
      </w:r>
      <w:r w:rsidR="00B27BEB">
        <w:t>no benefit or burden is allocated to the system as a result of their further processing</w:t>
      </w:r>
      <w:r w:rsidR="00EF378F">
        <w:t>.</w:t>
      </w:r>
    </w:p>
    <w:p w14:paraId="6B552B4E" w14:textId="6992C84D" w:rsidR="004124EC" w:rsidRDefault="00F00DD8" w:rsidP="00894BFE">
      <w:r>
        <w:t xml:space="preserve">For the Life Cycle Impact Assessment (LCIA) step, the 12 midpoint LCIA models recommended by the ILCD </w:t>
      </w:r>
      <w:r>
        <w:fldChar w:fldCharType="begin" w:fldLock="1"/>
      </w:r>
      <w:r w:rsidR="000E418E">
        <w:instrText>ADDIN CSL_CITATION {"citationItems":[{"id":"ITEM-1","itemData":{"DOI":"10.1007/s11367-012-0489-5","ISBN":"0948-3349","ISSN":"09483349","abstract":"Purpose Life cycle impact assessment (LCIA) is a field of active development. The last decade has seen prolific publication of new impact assessment methods covering many different impact categories and providing characterization factors that often deviate from each other for the same substance and impact. The LCA standard ISO 14044 is rather general and unspecific in its requirements and offers little help to the LCA practitioner who needs to make a choice. With the aim to identify the best among existing characterization models and provide recommendations to the LCA practitioner, a study was performed for the Joint Research Centre of the European Commission (JRC). Methods Existing LCIA methods were collected and their individual characterization models identified at both midpoint and endpoint levels and supplemented with other environmental models of potential use for LCIA. No new developments of characterization models or factors were done in the project. From a total of 156 models, 91 were short listed as possible candidates for a recommendation within their impact category. Criteria were developed for analyzing the models within each impact category. The criteria addressed both scientific qualities and stakeholder acceptance. The criteria were reviewed by external experts and stakeholders and applied in a comprehensive analysis of the short-listed characterization models (the total number of criteria varied between 35 and 50 per impact category). For each impact category, the analysis concluded with identification of the best among the existing characterization models. If the identified model was of sufficient quality, it was recommended by the JRC. Analysis and recommendation process involved hearing of both scientific experts and stakeholders. Results and recommendations Recommendations were developed for 14 impact categories at midpoint level, and among these recommendations, three were classified as “satisfactory” while ten were “in need of some improvements” and one was so weak that it has “to be applied with caution.” For some of the impact categories, the classification of the recommended model varied with the type of substance. At endpoint level, recommendations were only found relevant for three impact categories. For the rest, the quality of the existing methods was too weak, and the methods that came out best in the analysis were classified as “interim,” i.e., not recommended by the JRC but suitable to provide an initial basis for furthe…","author":[{"dropping-particle":"","family":"Hauschild","given":"Michael Z.","non-dropping-particle":"","parse-names":false,"suffix":""},{"dropping-particle":"","family":"Goedkoop","given":"Mark","non-dropping-particle":"","parse-names":false,"suffix":""},{"dropping-particle":"","family":"Guinée","given":"Jeroen","non-dropping-particle":"","parse-names":false,"suffix":""},{"dropping-particle":"","family":"Heijungs","given":"Reinout","non-dropping-particle":"","parse-names":false,"suffix":""},{"dropping-particle":"","family":"Huijbregts","given":"Mark","non-dropping-particle":"","parse-names":false,"suffix":""},{"dropping-particle":"","family":"Jolliet","given":"Olivier","non-dropping-particle":"","parse-names":false,"suffix":""},{"dropping-particle":"","family":"Margni","given":"Manuele","non-dropping-particle":"","parse-names":false,"suffix":""},{"dropping-particle":"","family":"Schryver","given":"An","non-dropping-particle":"De","parse-names":false,"suffix":""},{"dropping-particle":"","family":"Humbert","given":"Sebastien","non-dropping-particle":"","parse-names":false,"suffix":""},{"dropping-particle":"","family":"Laurent","given":"Alexis","non-dropping-particle":"","parse-names":false,"suffix":""},{"dropping-particle":"","family":"Sala","given":"Serenella","non-dropping-particle":"","parse-names":false,"suffix":""},{"dropping-particle":"","family":"Pant","given":"Rana","non-dropping-particle":"","parse-names":false,"suffix":""}],"container-title":"International Journal of Life Cycle Assessment","id":"ITEM-1","issue":"3","issued":{"date-parts":[["2013"]]},"page":"683-697","title":"Identifying best existing practice for characterization modeling in life cycle impact assessment","type":"article-journal","volume":"18"},"uris":["http://www.mendeley.com/documents/?uuid=3184512f-0c39-419a-bbe1-2882d570fff3"]}],"mendeley":{"formattedCitation":"(Hauschild et al., 2013)","plainTextFormattedCitation":"(Hauschild et al., 2013)","previouslyFormattedCitation":"(Hauschild et al., 2013)"},"properties":{"noteIndex":0},"schema":"https://github.com/citation-style-language/schema/raw/master/csl-citation.json"}</w:instrText>
      </w:r>
      <w:r>
        <w:fldChar w:fldCharType="separate"/>
      </w:r>
      <w:r w:rsidRPr="009E200E">
        <w:rPr>
          <w:noProof/>
        </w:rPr>
        <w:t>(Hauschild et al., 2013)</w:t>
      </w:r>
      <w:r>
        <w:fldChar w:fldCharType="end"/>
      </w:r>
      <w:r>
        <w:t xml:space="preserve"> were chosen. </w:t>
      </w:r>
      <w:r w:rsidR="004124EC">
        <w:t>These are global warming (GW), terrestrial acidification (AC), particulate matter formation (PM), photochemical ozone formation (POC), ozone layer depletion (OZD), human toxicity carcinogenic effects (HT-C), human toxicity non-carcinogenic effects (HT-NC), ionizing radiation (IR-A), freshwater eutrophication (FE), marine eutrophication (ME), freshwater toxicity (FT) and resource depletion (RD).</w:t>
      </w:r>
    </w:p>
    <w:p w14:paraId="144FD044" w14:textId="6285451F" w:rsidR="00F00DD8" w:rsidRDefault="00F00DD8" w:rsidP="00894BFE">
      <w:r>
        <w:t xml:space="preserve">As highlighted by Joyce et al. </w:t>
      </w:r>
      <w:r>
        <w:fldChar w:fldCharType="begin" w:fldLock="1"/>
      </w:r>
      <w:r w:rsidR="000E418E">
        <w:instrText>ADDIN CSL_CITATION {"citationItems":[{"id":"ITEM-1","itemData":{"DOI":"10.1007/s11367-016-1218-2","ISSN":"0948-3349","author":[{"dropping-particle":"","family":"Joyce","given":"P. James","non-dropping-particle":"","parse-names":false,"suffix":""},{"dropping-particle":"","family":"Goronovski","given":"Andrei","non-dropping-particle":"","parse-names":false,"suffix":""},{"dropping-particle":"","family":"Tkaczyk","given":"Alan H.","non-dropping-particle":"","parse-names":false,"suffix":""},{"dropping-particle":"","family":"Björklund","given":"Anna","non-dropping-particle":"","parse-names":false,"suffix":""}],"container-title":"The International Journal of Life Cycle Assessment","id":"ITEM-1","issue":"7","issued":{"date-parts":[["2017","7","22"]]},"page":"1078-1095","title":"A framework for including enhanced exposure to naturally occurring radioactive materials (NORM) in LCA","type":"article-journal","volume":"22"},"suppress-author":1,"uris":["http://www.mendeley.com/documents/?uuid=4559372d-884a-4d02-b2aa-20fc7f09bc97"]}],"mendeley":{"formattedCitation":"(2017)","plainTextFormattedCitation":"(2017)","previouslyFormattedCitation":"(2017)"},"properties":{"noteIndex":0},"schema":"https://github.com/citation-style-language/schema/raw/master/csl-citation.json"}</w:instrText>
      </w:r>
      <w:r>
        <w:fldChar w:fldCharType="separate"/>
      </w:r>
      <w:r w:rsidR="003A3A7B" w:rsidRPr="003A3A7B">
        <w:rPr>
          <w:noProof/>
        </w:rPr>
        <w:t>(2017)</w:t>
      </w:r>
      <w:r>
        <w:fldChar w:fldCharType="end"/>
      </w:r>
      <w:r>
        <w:t xml:space="preserve">, enhanced exposure to naturally occurring </w:t>
      </w:r>
      <w:r w:rsidR="00C95139">
        <w:t xml:space="preserve">radionuclides </w:t>
      </w:r>
      <w:r>
        <w:t xml:space="preserve">is a potentially important source of human health impact in the life cycle of construction products. This is particularly important where </w:t>
      </w:r>
      <w:r w:rsidR="00C95139">
        <w:t>Naturally Occurring Radioactive Materials (NORM)</w:t>
      </w:r>
      <w:r>
        <w:t xml:space="preserve">, </w:t>
      </w:r>
      <w:r w:rsidR="00C95139">
        <w:t xml:space="preserve">which </w:t>
      </w:r>
      <w:r>
        <w:t>includ</w:t>
      </w:r>
      <w:r w:rsidR="00C95139">
        <w:t>e</w:t>
      </w:r>
      <w:r>
        <w:t xml:space="preserve"> </w:t>
      </w:r>
      <w:r w:rsidR="00C95139">
        <w:t xml:space="preserve">some </w:t>
      </w:r>
      <w:r>
        <w:t>BR</w:t>
      </w:r>
      <w:r w:rsidR="00C95139">
        <w:t xml:space="preserve">s </w:t>
      </w:r>
      <w:r w:rsidR="00C95139">
        <w:fldChar w:fldCharType="begin" w:fldLock="1"/>
      </w:r>
      <w:r w:rsidR="000E418E">
        <w:instrText>ADDIN CSL_CITATION {"citationItems":[{"id":"ITEM-1","itemData":{"DOI":"10.1016/j.jenvrad.2016.12.008","ISSN":"18791700","abstract":"This study employs thermal and epithermal neutron activation analysis (NAA) to quantitatively and specifically determine absorption dose rates to various body parts from uranium, thorium and potassium. Specifically, a case study of bauxite residue (red mud) from an industrial facility was used to demonstrate the feasibility of the NAA approach for radiological safety assessment, using small sample sizes to ascertain the activities of 235U, 238U, 232Th and 40K. This proof-of-concept was shown to produce reliable results and a similar approach could be used for quantitative assessment of other samples with possible radiological significance. 238U and 232Th were determined by epithermal and thermal neutron activation analysis, respectively. 235U was determined based on the known isotopic ratio of 238U/235U. 40K was also determined using epithermal neutron activation analysis to measure total potassium content and then subtracting its isotopic contribution. Furthermore, the work demonstrates the application of Monte Carlo Neutral-Particle (MCNP) simulations to estimate the radiation dose from large quantities of red mud, to assure the safety of humans and the surrounding environment. Phantoms were employed to observe the dose distribution throughout the human body demonstrating radiation effects on each individual organ.","author":[{"dropping-particle":"","family":"Landsberger","given":"S.","non-dropping-particle":"","parse-names":false,"suffix":""},{"dropping-particle":"","family":"Sharp","given":"A.","non-dropping-particle":"","parse-names":false,"suffix":""},{"dropping-particle":"","family":"Wang","given":"S.","non-dropping-particle":"","parse-names":false,"suffix":""},{"dropping-particle":"","family":"Pontikes","given":"Y.","non-dropping-particle":"","parse-names":false,"suffix":""},{"dropping-particle":"","family":"Tkaczyk","given":"A. H.","non-dropping-particle":"","parse-names":false,"suffix":""}],"container-title":"Journal of Environmental Radioactivity","id":"ITEM-1","issued":{"date-parts":[["2017"]]},"page":"97-101","publisher":"Elsevier Ltd","title":"Characterization of bauxite residue (red mud) for 235U, 238U, 232Th and 40K using neutron activation analysis and the radiation dose levels as modeled by MCNP","type":"article-journal","volume":"173"},"uris":["http://www.mendeley.com/documents/?uuid=4b4094e8-6de5-43ef-bad9-10df4fe5d278"]}],"mendeley":{"formattedCitation":"(Landsberger et al., 2017)","plainTextFormattedCitation":"(Landsberger et al., 2017)","previouslyFormattedCitation":"(Landsberger et al., 2017)"},"properties":{"noteIndex":0},"schema":"https://github.com/citation-style-language/schema/raw/master/csl-citation.json"}</w:instrText>
      </w:r>
      <w:r w:rsidR="00C95139">
        <w:fldChar w:fldCharType="separate"/>
      </w:r>
      <w:r w:rsidR="00C95139" w:rsidRPr="00C95139">
        <w:rPr>
          <w:noProof/>
        </w:rPr>
        <w:t>(Landsberger et al., 2017)</w:t>
      </w:r>
      <w:r w:rsidR="00C95139">
        <w:fldChar w:fldCharType="end"/>
      </w:r>
      <w:r w:rsidR="00C95139">
        <w:t>,</w:t>
      </w:r>
      <w:r>
        <w:t xml:space="preserve"> are used in these applications. Therefore in addition to the 12 ILCD midpoint impact categories the impact of NORM exposure to human health from releases of NORM to environment </w:t>
      </w:r>
      <w:r w:rsidR="00EF378F">
        <w:t xml:space="preserve">(IR-N), </w:t>
      </w:r>
      <w:r>
        <w:t>was assessed using the LC</w:t>
      </w:r>
      <w:r w:rsidR="00894BFE">
        <w:t xml:space="preserve">IA method of Goronovski et al. </w:t>
      </w:r>
      <w:r w:rsidR="00894BFE">
        <w:fldChar w:fldCharType="begin" w:fldLock="1"/>
      </w:r>
      <w:r w:rsidR="000E418E">
        <w:instrText>ADDIN CSL_CITATION {"citationItems":[{"id":"ITEM-1","itemData":{"DOI":"10.1016/j.jclepro.2017.11.131","ISSN":"09596526","abstract":"The potential impact of ionising radiation from enhanced exposure to Naturally Occurring Radioactive Materials (NORM) to humans and the environment is not currently accounted for sufficiently in Life Cycle Assessment (LCA). Here we present midpoint and endpoint characterisation factors resulting from the implementation of impact assessment models for human health and ecosystems for NORM exposure. These models build upon existing fate, exposure and effect models from the LCA and radiological literature. The newly developed models are applied to a theoretical study of the utilisation of bauxite residue, a by-product of alumina processing enriched in natural radionuclides, in building materials. The ecosystem models have significant sensitivity to uncertainties surrounding the differential environmental fate of parent and daughter radionuclides that are produced as a part of decay chains, and to assumptions regarding long term releases from landfill sites. However, conservative results for environmental exposure suggest that in addition to landfill of materials, power consumption (burning coal and mining uranium) is a potentially significant source of radiological impact to the environment. From a human perspective, exposure to NORM in the use phase of building materials is the dominant source of impact, with environmental releases of nuclides playing a comparatively minor role. At an endpoint level, the impact of NORM exposure is highly significant in comparison to other impact categories in the area of protection of human health. The dose increase is of an order of magnitude comparable to lifestyle factors. The results highlight the importance within LCA of having sufficient impact assessment models to capture all potential impacts, such that issues of burden shifting between impact measures can be captured, interpreted and resolved in the optimisation of product systems.","author":[{"dropping-particle":"","family":"Goronovski","given":"Andrei","non-dropping-particle":"","parse-names":false,"suffix":""},{"dropping-particle":"","family":"Joyce","given":"P. James","non-dropping-particle":"","parse-names":false,"suffix":""},{"dropping-particle":"","family":"Björklund","given":"Anna","non-dropping-particle":"","parse-names":false,"suffix":""},{"dropping-particle":"","family":"Finnveden","given":"Göran","non-dropping-particle":"","parse-names":false,"suffix":""},{"dropping-particle":"","family":"Tkaczyk","given":"Alan H.","non-dropping-particle":"","parse-names":false,"suffix":""}],"container-title":"Journal of Cleaner Production","id":"ITEM-1","issued":{"date-parts":[["2018"]]},"page":"2824-2839","title":"Impact assessment of enhanced exposure from Naturally Occurring Radioactive Materials (NORM) within LCA","type":"article-journal","volume":"172"},"uris":["http://www.mendeley.com/documents/?uuid=df1ea08e-0529-4064-b3d0-43997d3c00bf"]}],"mendeley":{"formattedCitation":"(Goronovski et al., 2018)","plainTextFormattedCitation":"(Goronovski et al., 2018)","previouslyFormattedCitation":"(Goronovski et al., 2018)"},"properties":{"noteIndex":0},"schema":"https://github.com/citation-style-language/schema/raw/master/csl-citation.json"}</w:instrText>
      </w:r>
      <w:r w:rsidR="00894BFE">
        <w:fldChar w:fldCharType="separate"/>
      </w:r>
      <w:r w:rsidR="00810139" w:rsidRPr="00810139">
        <w:rPr>
          <w:noProof/>
        </w:rPr>
        <w:t>(Goronovski et al., 2018)</w:t>
      </w:r>
      <w:r w:rsidR="00894BFE">
        <w:fldChar w:fldCharType="end"/>
      </w:r>
      <w:r>
        <w:t>. For two of the mix designs (12-CS-K and 12-CS-Na) data on the NORM content of the final products were available. In these two cases the use phase impact of NORM exposure was also considered.</w:t>
      </w:r>
    </w:p>
    <w:p w14:paraId="54F57C45" w14:textId="13AF4CE1" w:rsidR="008D6B88" w:rsidRDefault="00F00DD8" w:rsidP="004124EC">
      <w:r>
        <w:t xml:space="preserve">The use phase NORM exposure method presented in Goronovski et al. </w:t>
      </w:r>
      <w:r w:rsidR="00894BFE">
        <w:fldChar w:fldCharType="begin" w:fldLock="1"/>
      </w:r>
      <w:r w:rsidR="000E418E">
        <w:instrText>ADDIN CSL_CITATION {"citationItems":[{"id":"ITEM-1","itemData":{"DOI":"10.1016/j.jclepro.2017.11.131","ISSN":"09596526","abstract":"The potential impact of ionising radiation from enhanced exposure to Naturally Occurring Radioactive Materials (NORM) to humans and the environment is not currently accounted for sufficiently in Life Cycle Assessment (LCA). Here we present midpoint and endpoint characterisation factors resulting from the implementation of impact assessment models for human health and ecosystems for NORM exposure. These models build upon existing fate, exposure and effect models from the LCA and radiological literature. The newly developed models are applied to a theoretical study of the utilisation of bauxite residue, a by-product of alumina processing enriched in natural radionuclides, in building materials. The ecosystem models have significant sensitivity to uncertainties surrounding the differential environmental fate of parent and daughter radionuclides that are produced as a part of decay chains, and to assumptions regarding long term releases from landfill sites. However, conservative results for environmental exposure suggest that in addition to landfill of materials, power consumption (burning coal and mining uranium) is a potentially significant source of radiological impact to the environment. From a human perspective, exposure to NORM in the use phase of building materials is the dominant source of impact, with environmental releases of nuclides playing a comparatively minor role. At an endpoint level, the impact of NORM exposure is highly significant in comparison to other impact categories in the area of protection of human health. The dose increase is of an order of magnitude comparable to lifestyle factors. The results highlight the importance within LCA of having sufficient impact assessment models to capture all potential impacts, such that issues of burden shifting between impact measures can be captured, interpreted and resolved in the optimisation of product systems.","author":[{"dropping-particle":"","family":"Goronovski","given":"Andrei","non-dropping-particle":"","parse-names":false,"suffix":""},{"dropping-particle":"","family":"Joyce","given":"P. James","non-dropping-particle":"","parse-names":false,"suffix":""},{"dropping-particle":"","family":"Björklund","given":"Anna","non-dropping-particle":"","parse-names":false,"suffix":""},{"dropping-particle":"","family":"Finnveden","given":"Göran","non-dropping-particle":"","parse-names":false,"suffix":""},{"dropping-particle":"","family":"Tkaczyk","given":"Alan H.","non-dropping-particle":"","parse-names":false,"suffix":""}],"container-title":"Journal of Cleaner Production","id":"ITEM-1","issued":{"date-parts":[["2018"]]},"page":"2824-2839","title":"Impact assessment of enhanced exposure from Naturally Occurring Radioactive Materials (NORM) within LCA","type":"article-journal","volume":"172"},"uris":["http://www.mendeley.com/documents/?uuid=df1ea08e-0529-4064-b3d0-43997d3c00bf"]}],"mendeley":{"formattedCitation":"(Goronovski et al., 2018)","plainTextFormattedCitation":"(Goronovski et al., 2018)","previouslyFormattedCitation":"(Goronovski et al., 2018)"},"properties":{"noteIndex":0},"schema":"https://github.com/citation-style-language/schema/raw/master/csl-citation.json"}</w:instrText>
      </w:r>
      <w:r w:rsidR="00894BFE">
        <w:fldChar w:fldCharType="separate"/>
      </w:r>
      <w:r w:rsidR="00810139" w:rsidRPr="00810139">
        <w:rPr>
          <w:noProof/>
        </w:rPr>
        <w:t>(Goronovski et al., 2018)</w:t>
      </w:r>
      <w:r w:rsidR="00894BFE">
        <w:fldChar w:fldCharType="end"/>
      </w:r>
      <w:r w:rsidR="00894BFE">
        <w:t xml:space="preserve"> </w:t>
      </w:r>
      <w:r>
        <w:t xml:space="preserve">considers application of construction materials specifically for dwellings. In this study the </w:t>
      </w:r>
      <w:r w:rsidR="008D6B88">
        <w:t>materials</w:t>
      </w:r>
      <w:r>
        <w:t xml:space="preserve"> described are proposed for outdoor use</w:t>
      </w:r>
      <w:r w:rsidR="008D6B88">
        <w:t xml:space="preserve"> as paving</w:t>
      </w:r>
      <w:r>
        <w:t>, therefore we derived a set of separate characterisatio</w:t>
      </w:r>
      <w:r w:rsidR="008D6B88">
        <w:t xml:space="preserve">n factors for this application. Only gamma ray exposure is considered. </w:t>
      </w:r>
      <w:r>
        <w:t xml:space="preserve">In contrast to residential applications, where radon can accumulate, radon released from </w:t>
      </w:r>
      <w:r w:rsidR="008D6B88">
        <w:t>paving</w:t>
      </w:r>
      <w:r>
        <w:t xml:space="preserve"> is assumed to disperse and decay without causing impact to human health. </w:t>
      </w:r>
    </w:p>
    <w:p w14:paraId="68AD4C6A" w14:textId="1C6D3061" w:rsidR="008D6B88" w:rsidRDefault="008D6B88" w:rsidP="004124EC">
      <w:r>
        <w:t xml:space="preserve">The external dose rate coefficients, exposure area and occupancy time were taken from Markkanen </w:t>
      </w:r>
      <w:r>
        <w:fldChar w:fldCharType="begin" w:fldLock="1"/>
      </w:r>
      <w:r w:rsidR="000E418E">
        <w:instrText>ADDIN CSL_CITATION {"citationItems":[{"id":"ITEM-1","itemData":{"ISBN":"9517120796","author":[{"dropping-particle":"","family":"Markkanen","given":"Mika","non-dropping-particle":"","parse-names":false,"suffix":""}],"container-title":"Nuclear Safety","id":"ITEM-1","issue":"November","issued":{"date-parts":[["1995"]]},"title":"Radiation Dose Assessments for Materials with Elevated Natural Radioactivity","type":"book","volume":"2"},"suppress-author":1,"uris":["http://www.mendeley.com/documents/?uuid=6192b2d8-c2b5-4637-a770-7dfe32cccef9"]}],"mendeley":{"formattedCitation":"(1995)","plainTextFormattedCitation":"(1995)","previouslyFormattedCitation":"(1995)"},"properties":{"noteIndex":0},"schema":"https://github.com/citation-style-language/schema/raw/master/csl-citation.json"}</w:instrText>
      </w:r>
      <w:r>
        <w:fldChar w:fldCharType="separate"/>
      </w:r>
      <w:r w:rsidRPr="008D6B88">
        <w:rPr>
          <w:noProof/>
        </w:rPr>
        <w:t>(1995)</w:t>
      </w:r>
      <w:r>
        <w:fldChar w:fldCharType="end"/>
      </w:r>
      <w:r>
        <w:t>. Dose rate coefficients are dependent on the specific mass of the material considered, measured in units of kg </w:t>
      </w:r>
      <w:r w:rsidRPr="008D6B88">
        <w:t>m</w:t>
      </w:r>
      <w:r w:rsidRPr="008D6B88">
        <w:rPr>
          <w:vertAlign w:val="superscript"/>
        </w:rPr>
        <w:t>-2</w:t>
      </w:r>
      <w:r>
        <w:t>, calculated by multiplying the density of the material (kg m</w:t>
      </w:r>
      <w:r w:rsidRPr="008D6B88">
        <w:rPr>
          <w:vertAlign w:val="superscript"/>
        </w:rPr>
        <w:t>-3</w:t>
      </w:r>
      <w:r>
        <w:t>) by its thickness (m). In this assessment, values for a specific mass of 200 kg m</w:t>
      </w:r>
      <w:r w:rsidRPr="008D6B88">
        <w:rPr>
          <w:vertAlign w:val="superscript"/>
        </w:rPr>
        <w:t>-2</w:t>
      </w:r>
      <w:r>
        <w:t xml:space="preserve"> were used, as the paving blocks considered have a specific mass of </w:t>
      </w:r>
      <w:bookmarkStart w:id="7" w:name="_GoBack"/>
      <w:r>
        <w:t>169</w:t>
      </w:r>
      <w:bookmarkEnd w:id="7"/>
      <w:r>
        <w:t> </w:t>
      </w:r>
      <w:r>
        <w:noBreakHyphen/>
        <w:t> 173 kg m</w:t>
      </w:r>
      <w:r w:rsidRPr="008D6B88">
        <w:rPr>
          <w:vertAlign w:val="superscript"/>
        </w:rPr>
        <w:t>-2</w:t>
      </w:r>
      <w:r>
        <w:t xml:space="preserve">. The data used to derive the exposure factor for paving in a European context </w:t>
      </w:r>
      <w:r w:rsidR="00EF378F">
        <w:t>were</w:t>
      </w:r>
      <w:r>
        <w:t xml:space="preserve"> taken from EUROSTAT database </w:t>
      </w:r>
      <w:r>
        <w:fldChar w:fldCharType="begin" w:fldLock="1"/>
      </w:r>
      <w:r w:rsidR="000E418E">
        <w:instrText>ADDIN CSL_CITATION {"citationItems":[{"id":"ITEM-1","itemData":{"URL":"http://ec.europa.eu/eurostat/en/web/products-datasets/-/T2020_RD110","accessed":{"date-parts":[["2017","11","9"]]},"author":[{"dropping-particle":"","family":"EUROSTAT","given":"","non-dropping-particle":"","parse-names":false,"suffix":""}],"id":"ITEM-1","issued":{"date-parts":[["2017"]]},"title":"Population change – Demographic balance and crude rates at national level","type":"webpage"},"uris":["http://www.mendeley.com/documents/?uuid=ae5d3b8d-a018-4a0e-a90f-4db5b37462a0","http://www.mendeley.com/documents/?uuid=ded8228f-20e6-4ab7-9ee8-e3d052788dbb"]},{"id":"ITEM-2","itemData":{"URL":"http://ec.europa.eu/eurostat/en/web/products-datasets/-/T2020_RD110","accessed":{"date-parts":[["2017","11","9"]]},"author":[{"dropping-particle":"","family":"EUROSTAT","given":"","non-dropping-particle":"","parse-names":false,"suffix":""}],"id":"ITEM-2","issued":{"date-parts":[["2017"]]},"title":"Built-up areas","type":"webpage"},"uris":["http://www.mendeley.com/documents/?uuid=32b482d0-f8d0-4b70-b14e-797822d9aa4a","http://www.mendeley.com/documents/?uuid=0d1e115c-1ce8-4640-9bb9-c524b7c5ba63"]},{"id":"ITEM-3","itemData":{"URL":"http://ec.europa.eu/eurostat/statistics-explained/index.php/Land_cover,_land_use_and_landscape","accessed":{"date-parts":[["2017","11","9"]]},"author":[{"dropping-particle":"","family":"EUROSTAT","given":"","non-dropping-particle":"","parse-names":false,"suffix":""}],"id":"ITEM-3","issued":{"date-parts":[["2016"]]},"title":"Land cover, land use and landscape","type":"webpage"},"uris":["http://www.mendeley.com/documents/?uuid=46577f86-63c1-430c-9f91-000655fae0ef","http://www.mendeley.com/documents/?uuid=482c822f-bd0b-4f14-b31b-bcbabc5c2126"]}],"mendeley":{"formattedCitation":"(EUROSTAT, 2017a, 2017b, 2016)","plainTextFormattedCitation":"(EUROSTAT, 2017a, 2017b, 2016)","previouslyFormattedCitation":"(EUROSTAT, 2017a, 2017b, 2016)"},"properties":{"noteIndex":0},"schema":"https://github.com/citation-style-language/schema/raw/master/csl-citation.json"}</w:instrText>
      </w:r>
      <w:r>
        <w:fldChar w:fldCharType="separate"/>
      </w:r>
      <w:r w:rsidRPr="008D6B88">
        <w:rPr>
          <w:noProof/>
        </w:rPr>
        <w:t>(EUROSTAT, 2017a, 2017b, 2016)</w:t>
      </w:r>
      <w:r>
        <w:fldChar w:fldCharType="end"/>
      </w:r>
      <w:r>
        <w:t>. Midpoint characterisation factors for 200 kg m</w:t>
      </w:r>
      <w:r w:rsidRPr="008D6B88">
        <w:rPr>
          <w:vertAlign w:val="superscript"/>
        </w:rPr>
        <w:t>-2</w:t>
      </w:r>
      <w:r>
        <w:t xml:space="preserve"> materials are given in </w:t>
      </w:r>
      <w:r>
        <w:fldChar w:fldCharType="begin"/>
      </w:r>
      <w:r>
        <w:instrText xml:space="preserve"> REF _Ref498621154 \h </w:instrText>
      </w:r>
      <w:r>
        <w:fldChar w:fldCharType="separate"/>
      </w:r>
      <w:r w:rsidR="002B1423">
        <w:t xml:space="preserve">Table </w:t>
      </w:r>
      <w:r w:rsidR="002B1423">
        <w:rPr>
          <w:noProof/>
        </w:rPr>
        <w:t>2</w:t>
      </w:r>
      <w:r>
        <w:fldChar w:fldCharType="end"/>
      </w:r>
      <w:r>
        <w:t>. Full details of the derivation of these factors, as well as characterisation factors for materials of specific mass between 25 </w:t>
      </w:r>
      <w:r>
        <w:noBreakHyphen/>
        <w:t> 500 kg m</w:t>
      </w:r>
      <w:r w:rsidRPr="008D6B88">
        <w:rPr>
          <w:vertAlign w:val="superscript"/>
        </w:rPr>
        <w:t>-2</w:t>
      </w:r>
      <w:r w:rsidRPr="008D6B88">
        <w:t xml:space="preserve"> are provided in Appendix </w:t>
      </w:r>
      <w:r w:rsidR="007930BC">
        <w:t>2</w:t>
      </w:r>
      <w:r>
        <w:t>.</w:t>
      </w:r>
    </w:p>
    <w:p w14:paraId="5B59672E" w14:textId="77777777" w:rsidR="008D6B88" w:rsidRDefault="008D6B88" w:rsidP="008D6B88">
      <w:pPr>
        <w:pStyle w:val="Caption"/>
        <w:keepNext/>
      </w:pPr>
      <w:bookmarkStart w:id="8" w:name="_Ref498621154"/>
      <w:r>
        <w:t xml:space="preserve">Table </w:t>
      </w:r>
      <w:r>
        <w:fldChar w:fldCharType="begin"/>
      </w:r>
      <w:r>
        <w:instrText xml:space="preserve"> SEQ Table \* ARABIC </w:instrText>
      </w:r>
      <w:r>
        <w:fldChar w:fldCharType="separate"/>
      </w:r>
      <w:r w:rsidR="002B1423">
        <w:rPr>
          <w:noProof/>
        </w:rPr>
        <w:t>2</w:t>
      </w:r>
      <w:r>
        <w:fldChar w:fldCharType="end"/>
      </w:r>
      <w:bookmarkEnd w:id="8"/>
      <w:r>
        <w:t xml:space="preserve"> Characterisation factors for use phase NORM exposure for materials used paving applications with a specific mass of 200 kg m</w:t>
      </w:r>
      <w:r w:rsidRPr="008D6B88">
        <w:rPr>
          <w:vertAlign w:val="superscript"/>
        </w:rPr>
        <w:t>-2</w:t>
      </w:r>
    </w:p>
    <w:tbl>
      <w:tblPr>
        <w:tblW w:w="3080" w:type="dxa"/>
        <w:jc w:val="center"/>
        <w:tblLook w:val="04A0" w:firstRow="1" w:lastRow="0" w:firstColumn="1" w:lastColumn="0" w:noHBand="0" w:noVBand="1"/>
      </w:tblPr>
      <w:tblGrid>
        <w:gridCol w:w="1360"/>
        <w:gridCol w:w="1720"/>
      </w:tblGrid>
      <w:tr w:rsidR="008D6B88" w:rsidRPr="00894BFE" w14:paraId="7652857C" w14:textId="77777777" w:rsidTr="00894BFE">
        <w:trPr>
          <w:trHeight w:val="300"/>
          <w:jc w:val="center"/>
        </w:trPr>
        <w:tc>
          <w:tcPr>
            <w:tcW w:w="1360" w:type="dxa"/>
            <w:tcBorders>
              <w:top w:val="single" w:sz="4" w:space="0" w:color="auto"/>
              <w:left w:val="nil"/>
              <w:bottom w:val="single" w:sz="4" w:space="0" w:color="auto"/>
              <w:right w:val="nil"/>
            </w:tcBorders>
            <w:shd w:val="clear" w:color="auto" w:fill="auto"/>
            <w:noWrap/>
            <w:vAlign w:val="center"/>
            <w:hideMark/>
          </w:tcPr>
          <w:p w14:paraId="0FD84667" w14:textId="77777777" w:rsidR="008D6B88" w:rsidRPr="004124EC" w:rsidRDefault="008D6B88" w:rsidP="004124EC">
            <w:pPr>
              <w:spacing w:after="0"/>
              <w:jc w:val="center"/>
              <w:rPr>
                <w:b/>
                <w:sz w:val="18"/>
              </w:rPr>
            </w:pPr>
            <w:r w:rsidRPr="004124EC">
              <w:rPr>
                <w:b/>
                <w:sz w:val="18"/>
              </w:rPr>
              <w:t>Isotope</w:t>
            </w:r>
          </w:p>
        </w:tc>
        <w:tc>
          <w:tcPr>
            <w:tcW w:w="1720" w:type="dxa"/>
            <w:tcBorders>
              <w:top w:val="single" w:sz="4" w:space="0" w:color="auto"/>
              <w:left w:val="nil"/>
              <w:bottom w:val="single" w:sz="4" w:space="0" w:color="auto"/>
              <w:right w:val="nil"/>
            </w:tcBorders>
            <w:shd w:val="clear" w:color="auto" w:fill="auto"/>
            <w:noWrap/>
            <w:vAlign w:val="center"/>
            <w:hideMark/>
          </w:tcPr>
          <w:p w14:paraId="7711861A" w14:textId="77777777" w:rsidR="008D6B88" w:rsidRPr="004124EC" w:rsidRDefault="008D6B88" w:rsidP="004124EC">
            <w:pPr>
              <w:spacing w:after="0"/>
              <w:jc w:val="center"/>
              <w:rPr>
                <w:b/>
                <w:sz w:val="18"/>
              </w:rPr>
            </w:pPr>
            <w:r w:rsidRPr="004124EC">
              <w:rPr>
                <w:b/>
                <w:sz w:val="18"/>
              </w:rPr>
              <w:t>man.SV per kBq</w:t>
            </w:r>
          </w:p>
        </w:tc>
      </w:tr>
      <w:tr w:rsidR="008D6B88" w:rsidRPr="00894BFE" w14:paraId="33A17764" w14:textId="77777777" w:rsidTr="00894BFE">
        <w:trPr>
          <w:trHeight w:val="300"/>
          <w:jc w:val="center"/>
        </w:trPr>
        <w:tc>
          <w:tcPr>
            <w:tcW w:w="1360" w:type="dxa"/>
            <w:tcBorders>
              <w:top w:val="nil"/>
              <w:left w:val="nil"/>
              <w:bottom w:val="nil"/>
              <w:right w:val="nil"/>
            </w:tcBorders>
            <w:shd w:val="clear" w:color="auto" w:fill="auto"/>
            <w:noWrap/>
            <w:vAlign w:val="center"/>
            <w:hideMark/>
          </w:tcPr>
          <w:p w14:paraId="56D7D16B" w14:textId="77777777" w:rsidR="008D6B88" w:rsidRPr="004124EC" w:rsidRDefault="008D6B88" w:rsidP="004124EC">
            <w:pPr>
              <w:spacing w:after="0"/>
              <w:jc w:val="center"/>
              <w:rPr>
                <w:sz w:val="18"/>
              </w:rPr>
            </w:pPr>
            <w:r w:rsidRPr="004124EC">
              <w:rPr>
                <w:sz w:val="18"/>
                <w:vertAlign w:val="superscript"/>
              </w:rPr>
              <w:t>238</w:t>
            </w:r>
            <w:r w:rsidRPr="004124EC">
              <w:rPr>
                <w:sz w:val="18"/>
              </w:rPr>
              <w:t>U/</w:t>
            </w:r>
            <w:r w:rsidRPr="004124EC">
              <w:rPr>
                <w:sz w:val="18"/>
                <w:vertAlign w:val="superscript"/>
              </w:rPr>
              <w:t>226</w:t>
            </w:r>
            <w:r w:rsidRPr="004124EC">
              <w:rPr>
                <w:sz w:val="18"/>
              </w:rPr>
              <w:t>Ra</w:t>
            </w:r>
          </w:p>
        </w:tc>
        <w:tc>
          <w:tcPr>
            <w:tcW w:w="1720" w:type="dxa"/>
            <w:tcBorders>
              <w:top w:val="nil"/>
              <w:left w:val="nil"/>
              <w:bottom w:val="nil"/>
              <w:right w:val="nil"/>
            </w:tcBorders>
            <w:shd w:val="clear" w:color="auto" w:fill="auto"/>
            <w:noWrap/>
            <w:vAlign w:val="center"/>
            <w:hideMark/>
          </w:tcPr>
          <w:p w14:paraId="3089DAF3" w14:textId="77777777" w:rsidR="008D6B88" w:rsidRPr="004124EC" w:rsidRDefault="008D6B88" w:rsidP="004124EC">
            <w:pPr>
              <w:spacing w:after="0"/>
              <w:jc w:val="center"/>
              <w:rPr>
                <w:sz w:val="18"/>
              </w:rPr>
            </w:pPr>
            <w:r w:rsidRPr="004124EC">
              <w:rPr>
                <w:sz w:val="18"/>
              </w:rPr>
              <w:t>5.31 × 10</w:t>
            </w:r>
            <w:r w:rsidRPr="004124EC">
              <w:rPr>
                <w:sz w:val="18"/>
                <w:vertAlign w:val="superscript"/>
              </w:rPr>
              <w:t>-8</w:t>
            </w:r>
          </w:p>
        </w:tc>
      </w:tr>
      <w:tr w:rsidR="008D6B88" w:rsidRPr="00894BFE" w14:paraId="77674DA1" w14:textId="77777777" w:rsidTr="00894BFE">
        <w:trPr>
          <w:trHeight w:val="300"/>
          <w:jc w:val="center"/>
        </w:trPr>
        <w:tc>
          <w:tcPr>
            <w:tcW w:w="1360" w:type="dxa"/>
            <w:tcBorders>
              <w:top w:val="nil"/>
              <w:left w:val="nil"/>
              <w:bottom w:val="nil"/>
              <w:right w:val="nil"/>
            </w:tcBorders>
            <w:shd w:val="clear" w:color="auto" w:fill="auto"/>
            <w:noWrap/>
            <w:vAlign w:val="center"/>
            <w:hideMark/>
          </w:tcPr>
          <w:p w14:paraId="546E0C5F" w14:textId="77777777" w:rsidR="008D6B88" w:rsidRPr="004124EC" w:rsidRDefault="008D6B88" w:rsidP="004124EC">
            <w:pPr>
              <w:spacing w:after="0"/>
              <w:jc w:val="center"/>
              <w:rPr>
                <w:sz w:val="18"/>
              </w:rPr>
            </w:pPr>
            <w:r w:rsidRPr="004124EC">
              <w:rPr>
                <w:sz w:val="18"/>
                <w:vertAlign w:val="superscript"/>
              </w:rPr>
              <w:t>232</w:t>
            </w:r>
            <w:r w:rsidRPr="004124EC">
              <w:rPr>
                <w:sz w:val="18"/>
              </w:rPr>
              <w:t>Th</w:t>
            </w:r>
          </w:p>
        </w:tc>
        <w:tc>
          <w:tcPr>
            <w:tcW w:w="1720" w:type="dxa"/>
            <w:tcBorders>
              <w:top w:val="nil"/>
              <w:left w:val="nil"/>
              <w:bottom w:val="nil"/>
              <w:right w:val="nil"/>
            </w:tcBorders>
            <w:shd w:val="clear" w:color="auto" w:fill="auto"/>
            <w:noWrap/>
            <w:vAlign w:val="center"/>
            <w:hideMark/>
          </w:tcPr>
          <w:p w14:paraId="1CDD7892" w14:textId="77777777" w:rsidR="008D6B88" w:rsidRPr="004124EC" w:rsidRDefault="008D6B88" w:rsidP="004124EC">
            <w:pPr>
              <w:spacing w:after="0"/>
              <w:jc w:val="center"/>
              <w:rPr>
                <w:sz w:val="18"/>
              </w:rPr>
            </w:pPr>
            <w:r w:rsidRPr="004124EC">
              <w:rPr>
                <w:sz w:val="18"/>
              </w:rPr>
              <w:t>6.20 × 10</w:t>
            </w:r>
            <w:r w:rsidRPr="004124EC">
              <w:rPr>
                <w:sz w:val="18"/>
                <w:vertAlign w:val="superscript"/>
              </w:rPr>
              <w:t>-8</w:t>
            </w:r>
          </w:p>
        </w:tc>
      </w:tr>
      <w:tr w:rsidR="008D6B88" w:rsidRPr="00894BFE" w14:paraId="5886B3CD" w14:textId="77777777" w:rsidTr="00894BFE">
        <w:trPr>
          <w:trHeight w:val="300"/>
          <w:jc w:val="center"/>
        </w:trPr>
        <w:tc>
          <w:tcPr>
            <w:tcW w:w="1360" w:type="dxa"/>
            <w:tcBorders>
              <w:top w:val="nil"/>
              <w:left w:val="nil"/>
              <w:bottom w:val="single" w:sz="4" w:space="0" w:color="auto"/>
              <w:right w:val="nil"/>
            </w:tcBorders>
            <w:shd w:val="clear" w:color="auto" w:fill="auto"/>
            <w:noWrap/>
            <w:vAlign w:val="center"/>
            <w:hideMark/>
          </w:tcPr>
          <w:p w14:paraId="511A1C76" w14:textId="77777777" w:rsidR="008D6B88" w:rsidRPr="004124EC" w:rsidRDefault="008D6B88" w:rsidP="004124EC">
            <w:pPr>
              <w:spacing w:after="0"/>
              <w:jc w:val="center"/>
              <w:rPr>
                <w:sz w:val="18"/>
              </w:rPr>
            </w:pPr>
            <w:r w:rsidRPr="004124EC">
              <w:rPr>
                <w:sz w:val="18"/>
                <w:vertAlign w:val="superscript"/>
              </w:rPr>
              <w:t>40</w:t>
            </w:r>
            <w:r w:rsidRPr="004124EC">
              <w:rPr>
                <w:sz w:val="18"/>
              </w:rPr>
              <w:t>K</w:t>
            </w:r>
          </w:p>
        </w:tc>
        <w:tc>
          <w:tcPr>
            <w:tcW w:w="1720" w:type="dxa"/>
            <w:tcBorders>
              <w:top w:val="nil"/>
              <w:left w:val="nil"/>
              <w:bottom w:val="single" w:sz="4" w:space="0" w:color="auto"/>
              <w:right w:val="nil"/>
            </w:tcBorders>
            <w:shd w:val="clear" w:color="auto" w:fill="auto"/>
            <w:noWrap/>
            <w:vAlign w:val="center"/>
            <w:hideMark/>
          </w:tcPr>
          <w:p w14:paraId="71C2C82F" w14:textId="77777777" w:rsidR="008D6B88" w:rsidRPr="004124EC" w:rsidRDefault="008D6B88" w:rsidP="004124EC">
            <w:pPr>
              <w:spacing w:after="0"/>
              <w:jc w:val="center"/>
              <w:rPr>
                <w:sz w:val="18"/>
              </w:rPr>
            </w:pPr>
            <w:r w:rsidRPr="004124EC">
              <w:rPr>
                <w:sz w:val="18"/>
              </w:rPr>
              <w:t>4.43 × 10</w:t>
            </w:r>
            <w:r w:rsidRPr="004124EC">
              <w:rPr>
                <w:sz w:val="18"/>
                <w:vertAlign w:val="superscript"/>
              </w:rPr>
              <w:t>-9</w:t>
            </w:r>
          </w:p>
        </w:tc>
      </w:tr>
    </w:tbl>
    <w:p w14:paraId="42AC9B8F" w14:textId="77777777" w:rsidR="00F00DD8" w:rsidRDefault="00F00DD8" w:rsidP="00894BFE"/>
    <w:p w14:paraId="72D89FDA" w14:textId="77777777" w:rsidR="00F00DD8" w:rsidRDefault="00F00DD8" w:rsidP="00566057">
      <w:pPr>
        <w:pStyle w:val="Heading3"/>
      </w:pPr>
      <w:bookmarkStart w:id="9" w:name="_Ref495312007"/>
      <w:r>
        <w:t>Overview of Life cycle inventory</w:t>
      </w:r>
      <w:bookmarkEnd w:id="9"/>
    </w:p>
    <w:p w14:paraId="7B796567" w14:textId="203DC9B4" w:rsidR="00F00DD8" w:rsidRDefault="00F00DD8" w:rsidP="00894BFE">
      <w:r>
        <w:t xml:space="preserve">Background data from the ecoinvent 3.3 </w:t>
      </w:r>
      <w:proofErr w:type="spellStart"/>
      <w:r>
        <w:t>cutoff</w:t>
      </w:r>
      <w:proofErr w:type="spellEnd"/>
      <w:r>
        <w:t xml:space="preserve"> database </w:t>
      </w:r>
      <w:r>
        <w:fldChar w:fldCharType="begin" w:fldLock="1"/>
      </w:r>
      <w:r w:rsidR="000E418E">
        <w:instrText>ADDIN CSL_CITATION {"citationItems":[{"id":"ITEM-1","itemData":{"URL":"http://www.ecoinvent.org/database/ecoinvent-33/ecoinvent-33.html","accessed":{"date-parts":[["2017","3","28"]]},"author":[{"dropping-particle":"","family":"Ecoinvent Centre","given":"","non-dropping-particle":"","parse-names":false,"suffix":""}],"id":"ITEM-1","issued":{"date-parts":[["2016"]]},"title":"ecoinvent 3.3","type":"webpage"},"uris":["http://www.mendeley.com/documents/?uuid=c3b2d1d6-0449-4ab4-b02c-fb1ca0606bdb"]}],"mendeley":{"formattedCitation":"(Ecoinvent Centre, 2016)","plainTextFormattedCitation":"(Ecoinvent Centre, 2016)","previouslyFormattedCitation":"(Ecoinvent Centre, 2016)"},"properties":{"noteIndex":0},"schema":"https://github.com/citation-style-language/schema/raw/master/csl-citation.json"}</w:instrText>
      </w:r>
      <w:r>
        <w:fldChar w:fldCharType="separate"/>
      </w:r>
      <w:r w:rsidRPr="00D26AAE">
        <w:rPr>
          <w:noProof/>
        </w:rPr>
        <w:t>(Ecoinvent Centre, 2016)</w:t>
      </w:r>
      <w:r>
        <w:fldChar w:fldCharType="end"/>
      </w:r>
      <w:r>
        <w:t xml:space="preserve"> were used in the construction of the life cycle inventory dataset. Full details, including a list of all used ecoinvent dat</w:t>
      </w:r>
      <w:r w:rsidR="007930BC">
        <w:t>asets are provided in Appendix 3</w:t>
      </w:r>
      <w:r>
        <w:t>.</w:t>
      </w:r>
    </w:p>
    <w:p w14:paraId="7B342051" w14:textId="11DE8FA2" w:rsidR="00F00DD8" w:rsidRDefault="00F00DD8" w:rsidP="00894BFE">
      <w:r>
        <w:t xml:space="preserve">All processes in the production of the polymer blocks are assumed to take place at an alumina plant in Greece. Firing of the precursor was assumed to take place in a rotary kiln, similar to those used in alumina calcining (at least in the recent past). Rotary kilns can be operated with a wide variety of fuels. In the base case it is assumed </w:t>
      </w:r>
      <w:r>
        <w:lastRenderedPageBreak/>
        <w:t xml:space="preserve">that the fuel types used </w:t>
      </w:r>
      <w:r w:rsidRPr="00D25097">
        <w:t>the</w:t>
      </w:r>
      <w:r>
        <w:t xml:space="preserve"> same as the</w:t>
      </w:r>
      <w:r w:rsidRPr="00D25097">
        <w:t xml:space="preserve"> primary fuels used in clinker production, in the same proportion as used in the ecoinvent clinker dataset</w:t>
      </w:r>
      <w:r>
        <w:t xml:space="preserve">. Additionally, an alternative option proposed for firing the precursor is a sintering process </w:t>
      </w:r>
      <w:r w:rsidR="00C95139">
        <w:fldChar w:fldCharType="begin" w:fldLock="1"/>
      </w:r>
      <w:r w:rsidR="000E418E">
        <w:instrText>ADDIN CSL_CITATION {"citationItems":[{"id":"ITEM-1","itemData":{"URL":"https://recover.technology/technology/","accessed":{"date-parts":[["2017","11","10"]]},"author":[{"dropping-particle":"","family":"RECOVER","given":"","non-dropping-particle":"","parse-names":false,"suffix":""}],"id":"ITEM-1","issued":{"date-parts":[["2017"]]},"title":"RECOVER: Techology","type":"webpage"},"prefix":"Y. Pontikes, pers. comm.; ","uris":["http://www.mendeley.com/documents/?uuid=8ffe5a8f-3cec-4363-bf1d-f894e6dee0b1"]}],"mendeley":{"formattedCitation":"(Y. Pontikes, pers. comm.; RECOVER, 2017)","plainTextFormattedCitation":"(Y. Pontikes, pers. comm.; RECOVER, 2017)","previouslyFormattedCitation":"(Y. Pontikes, pers. comm.; RECOVER, 2017)"},"properties":{"noteIndex":0},"schema":"https://github.com/citation-style-language/schema/raw/master/csl-citation.json"}</w:instrText>
      </w:r>
      <w:r w:rsidR="00C95139">
        <w:fldChar w:fldCharType="separate"/>
      </w:r>
      <w:r w:rsidR="00C95139" w:rsidRPr="00C95139">
        <w:rPr>
          <w:noProof/>
        </w:rPr>
        <w:t>(Y. Pontikes, pers. comm.; RECOVER, 2017)</w:t>
      </w:r>
      <w:r w:rsidR="00C95139">
        <w:fldChar w:fldCharType="end"/>
      </w:r>
      <w:r>
        <w:t>, in which the precursor is mixed with coke breeze and ignited with a natural gas flame. The impact of changing the rotary kiln fuel mix or firing type (the sintering option) is explored as a sensitivity analysis.</w:t>
      </w:r>
    </w:p>
    <w:p w14:paraId="19C8C607" w14:textId="226D2BA6" w:rsidR="00F00DD8" w:rsidRDefault="00F00DD8" w:rsidP="00894BFE">
      <w:r>
        <w:t>Potassium and sodium silicate with a molar ratio of 1.6 diluted in a ratio of 8 parts water to 1 part silicate were used as the activating solutions. The inputs required to produce potassium silicate (which does not appear in the ecoinvent database) were calculated based on ecoinvent data for the production of sodium</w:t>
      </w:r>
      <w:r w:rsidR="007930BC">
        <w:t xml:space="preserve"> silicate (details in Appendix 3</w:t>
      </w:r>
      <w:r>
        <w:t>). Representative data for milling, pressing and high temperature curing were tak</w:t>
      </w:r>
      <w:r w:rsidR="00EF378F">
        <w:t xml:space="preserve">en from literature (details in Appendix </w:t>
      </w:r>
      <w:r w:rsidR="007930BC">
        <w:t>3</w:t>
      </w:r>
      <w:r>
        <w:t xml:space="preserve">). Transport of all </w:t>
      </w:r>
      <w:r w:rsidR="00894BFE">
        <w:t xml:space="preserve">purchased </w:t>
      </w:r>
      <w:r>
        <w:t>materials to the site is assumed to be by lorry (EURO4) over a distance of 50 km. NORM radionuclide content of the final polymers was determined via gamma spectroscopy (</w:t>
      </w:r>
      <w:r w:rsidR="00EB4A51">
        <w:t xml:space="preserve">see Appendix </w:t>
      </w:r>
      <w:r w:rsidR="007930BC">
        <w:t>2</w:t>
      </w:r>
      <w:r>
        <w:t>) and carried out for two mix designs (12-CS-K and 12-CS-Na). This allows the assessment of use phase NORM exposure for these two products.</w:t>
      </w:r>
    </w:p>
    <w:p w14:paraId="4661C519" w14:textId="3E13018D" w:rsidR="00F00DD8" w:rsidRPr="009E200E" w:rsidRDefault="00F00DD8" w:rsidP="00894BFE">
      <w:r>
        <w:t>The reference flow for each mix design was calculated from the density of the precursor (3.58 g/cm</w:t>
      </w:r>
      <w:r w:rsidRPr="00CE27E0">
        <w:rPr>
          <w:vertAlign w:val="superscript"/>
        </w:rPr>
        <w:t>3</w:t>
      </w:r>
      <w:r>
        <w:t>) and the alkali activating solution (2.6 g/cm</w:t>
      </w:r>
      <w:r w:rsidRPr="00CE27E0">
        <w:rPr>
          <w:vertAlign w:val="superscript"/>
        </w:rPr>
        <w:t>3</w:t>
      </w:r>
      <w:r>
        <w:t xml:space="preserve">), and the liquid to solid (L/S) ratio. </w:t>
      </w:r>
      <w:r w:rsidR="00D443E2">
        <w:t>Thus,</w:t>
      </w:r>
      <w:r>
        <w:t xml:space="preserve"> for mix designs using K-silicate (L/S ratio = 0.25) the reference flow is 169 kg of IP blocks, while for the Na-silicate activated mix (L/S ratio = 0.15) the reference flow is 173 kg of IP blocks.</w:t>
      </w:r>
    </w:p>
    <w:p w14:paraId="27F90827" w14:textId="609C560E" w:rsidR="00F00DD8" w:rsidRDefault="004124EC" w:rsidP="00FB4C21">
      <w:pPr>
        <w:pStyle w:val="Heading1"/>
      </w:pPr>
      <w:r>
        <w:t>Results</w:t>
      </w:r>
    </w:p>
    <w:p w14:paraId="07BCAB78" w14:textId="77777777" w:rsidR="004124EC" w:rsidRDefault="004124EC" w:rsidP="004124EC">
      <w:pPr>
        <w:pStyle w:val="Heading2"/>
      </w:pPr>
      <w:r>
        <w:t>Mix design comparison</w:t>
      </w:r>
    </w:p>
    <w:p w14:paraId="1FF81343" w14:textId="0DF1FDAB" w:rsidR="009F4EC7" w:rsidRDefault="009F4EC7" w:rsidP="004124EC">
      <w:r>
        <w:t>The impact of each of the mix designs in each of the assessed impact categories are shown in Table S1, broken down by life cycle stage. The percentage contribution from each life cycle stage is shown in Table S2. Across all mix designs, the processing stage has the highest contribution to all impact categories, with the exception of resource depletion, for which purchased raw materials have the largest impact. End of life treatment of the blocks contributes very little to their life cycle impact (&lt;1%) in all but two impact categories (photochemical ozone formation and marine eutrophication). In these categories the contribution is still less than 2.5%.</w:t>
      </w:r>
    </w:p>
    <w:p w14:paraId="6C0AD32A" w14:textId="1A79D623" w:rsidR="004124EC" w:rsidRDefault="004124EC" w:rsidP="004124EC">
      <w:r>
        <w:t xml:space="preserve">Comparing </w:t>
      </w:r>
      <w:r w:rsidR="009F4EC7">
        <w:t xml:space="preserve">between </w:t>
      </w:r>
      <w:r>
        <w:t xml:space="preserve">mix designs allows a broad assessment of the effect of design choices of environmental impact of the high BR IP process. </w:t>
      </w:r>
      <w:r w:rsidR="00EF378F">
        <w:t xml:space="preserve">The mix design with no additions of carbon or silica has the lowest impact across 11 of the 13 impact categories, but also has the lowest performance (compressive strength 13 ± 0.4 MPa, </w:t>
      </w:r>
      <w:r w:rsidR="00EF378F">
        <w:fldChar w:fldCharType="begin"/>
      </w:r>
      <w:r w:rsidR="00EF378F">
        <w:instrText xml:space="preserve"> REF _Ref495065978 \h </w:instrText>
      </w:r>
      <w:r w:rsidR="00EF378F">
        <w:fldChar w:fldCharType="separate"/>
      </w:r>
      <w:r w:rsidR="002B1423">
        <w:t xml:space="preserve">Table </w:t>
      </w:r>
      <w:r w:rsidR="002B1423">
        <w:rPr>
          <w:noProof/>
        </w:rPr>
        <w:t>1</w:t>
      </w:r>
      <w:r w:rsidR="00EF378F">
        <w:fldChar w:fldCharType="end"/>
      </w:r>
      <w:r w:rsidR="00EF378F">
        <w:t>), making it unsuitable for use in construction applications. Likewise, the mix design with just carbon as an addition has a compressive strength too low for use in construction (</w:t>
      </w:r>
      <w:r w:rsidR="00EF378F" w:rsidRPr="004124EC">
        <w:t>19.7 ± 1.1</w:t>
      </w:r>
      <w:r w:rsidR="00EF378F">
        <w:t xml:space="preserve"> MPa, </w:t>
      </w:r>
      <w:r w:rsidR="00EF378F">
        <w:fldChar w:fldCharType="begin"/>
      </w:r>
      <w:r w:rsidR="00EF378F">
        <w:instrText xml:space="preserve"> REF _Ref495065978 \h </w:instrText>
      </w:r>
      <w:r w:rsidR="00EF378F">
        <w:fldChar w:fldCharType="separate"/>
      </w:r>
      <w:r w:rsidR="002B1423">
        <w:t xml:space="preserve">Table </w:t>
      </w:r>
      <w:r w:rsidR="002B1423">
        <w:rPr>
          <w:noProof/>
        </w:rPr>
        <w:t>1</w:t>
      </w:r>
      <w:r w:rsidR="00EF378F">
        <w:fldChar w:fldCharType="end"/>
      </w:r>
      <w:r w:rsidR="00EF378F">
        <w:t xml:space="preserve">). </w:t>
      </w:r>
      <w:r>
        <w:t xml:space="preserve">Higher impact is correlated with increasing temperature across all impact categories for the otherwise identical potassium activated mix designs as a result of increased energy demand (green (1,100°C), purple (1,200°C) and yellow (1,450°C) circles in </w:t>
      </w:r>
      <w:r>
        <w:fldChar w:fldCharType="begin"/>
      </w:r>
      <w:r>
        <w:instrText xml:space="preserve"> REF _Ref489271396 \h </w:instrText>
      </w:r>
      <w:r>
        <w:fldChar w:fldCharType="separate"/>
      </w:r>
      <w:r w:rsidR="002B1423">
        <w:t xml:space="preserve">Figure </w:t>
      </w:r>
      <w:r w:rsidR="002B1423">
        <w:rPr>
          <w:noProof/>
        </w:rPr>
        <w:t>3</w:t>
      </w:r>
      <w:r>
        <w:fldChar w:fldCharType="end"/>
      </w:r>
      <w:r>
        <w:t xml:space="preserve">). </w:t>
      </w:r>
    </w:p>
    <w:p w14:paraId="7653D16A" w14:textId="77777777" w:rsidR="004124EC" w:rsidRDefault="004124EC" w:rsidP="004124EC">
      <w:r>
        <w:t xml:space="preserve">The two impact categories in which there is most variation in impact between mix designs are ozone layer depletion (OZD, </w:t>
      </w:r>
      <w:r>
        <w:fldChar w:fldCharType="begin"/>
      </w:r>
      <w:r>
        <w:instrText xml:space="preserve"> REF _Ref489271396 \h </w:instrText>
      </w:r>
      <w:r>
        <w:fldChar w:fldCharType="separate"/>
      </w:r>
      <w:r w:rsidR="002B1423">
        <w:t xml:space="preserve">Figure </w:t>
      </w:r>
      <w:r w:rsidR="002B1423">
        <w:rPr>
          <w:noProof/>
        </w:rPr>
        <w:t>3</w:t>
      </w:r>
      <w:r>
        <w:fldChar w:fldCharType="end"/>
      </w:r>
      <w:r>
        <w:t xml:space="preserve">), as a result of the higher impact of Na-silicate activating solution vs K-silicate, and global warming (GW, </w:t>
      </w:r>
      <w:r>
        <w:fldChar w:fldCharType="begin"/>
      </w:r>
      <w:r>
        <w:instrText xml:space="preserve"> REF _Ref489271396 \h </w:instrText>
      </w:r>
      <w:r>
        <w:fldChar w:fldCharType="separate"/>
      </w:r>
      <w:r w:rsidR="002B1423">
        <w:t xml:space="preserve">Figure </w:t>
      </w:r>
      <w:r w:rsidR="002B1423">
        <w:rPr>
          <w:noProof/>
        </w:rPr>
        <w:t>3</w:t>
      </w:r>
      <w:r>
        <w:fldChar w:fldCharType="end"/>
      </w:r>
      <w:r>
        <w:t>), as a result of the contribution of the direct combustion of added carbon (and its absence in the 11-N-K mix).</w:t>
      </w:r>
    </w:p>
    <w:p w14:paraId="5087D264" w14:textId="774A464E" w:rsidR="00F00DD8" w:rsidRPr="00D25097" w:rsidRDefault="00605E6D" w:rsidP="004124EC">
      <w:r>
        <w:t xml:space="preserve">By converting the ionising radiation impact from releases of artificial radionuclides (IR-A), measured with the characterisation method of </w:t>
      </w:r>
      <w:r w:rsidRPr="00231FAD">
        <w:rPr>
          <w:noProof/>
        </w:rPr>
        <w:t>Frischknecht and Braunschweig</w:t>
      </w:r>
      <w:r>
        <w:t xml:space="preserve"> </w:t>
      </w:r>
      <w:r>
        <w:fldChar w:fldCharType="begin" w:fldLock="1"/>
      </w:r>
      <w:r w:rsidR="000E418E">
        <w:instrText>ADDIN CSL_CITATION {"citationItems":[{"id":"ITEM-1","itemData":{"author":[{"dropping-particle":"","family":"Frischknecht","given":"R","non-dropping-particle":"","parse-names":false,"suffix":""},{"dropping-particle":"","family":"Braunschweig","given":"A","non-dropping-particle":"","parse-names":false,"suffix":""}],"container-title":"Environmental Impact Assessment Review","id":"ITEM-1","issued":{"date-parts":[["2000"]]},"page":"159-189","title":"Human health damages due to ionising radiation in life cycle impact assessment","type":"article-journal","volume":"20"},"uris":["http://www.mendeley.com/documents/?uuid=0c1c2cf5-e70a-4533-9a01-63eb256969dd"]}],"mendeley":{"formattedCitation":"(Frischknecht and Braunschweig, 2000)","plainTextFormattedCitation":"(Frischknecht and Braunschweig, 2000)","previouslyFormattedCitation":"(Frischknecht and Braunschweig, 2000)"},"properties":{"noteIndex":0},"schema":"https://github.com/citation-style-language/schema/raw/master/csl-citation.json"}</w:instrText>
      </w:r>
      <w:r>
        <w:fldChar w:fldCharType="separate"/>
      </w:r>
      <w:r w:rsidRPr="001F0574">
        <w:rPr>
          <w:noProof/>
        </w:rPr>
        <w:t>(Frischknecht and Braunschweig, 2000)</w:t>
      </w:r>
      <w:r>
        <w:fldChar w:fldCharType="end"/>
      </w:r>
      <w:r w:rsidR="00942F0C">
        <w:t xml:space="preserve"> </w:t>
      </w:r>
      <w:r>
        <w:t xml:space="preserve">from the original units of </w:t>
      </w:r>
      <w:r w:rsidR="00942F0C">
        <w:t xml:space="preserve">kg </w:t>
      </w:r>
      <w:r w:rsidRPr="00605E6D">
        <w:rPr>
          <w:vertAlign w:val="superscript"/>
        </w:rPr>
        <w:t>235</w:t>
      </w:r>
      <w:r>
        <w:t xml:space="preserve">U-eq to man.Sv it is possible to compare the results to the ionising radiation impact from releases of NORM to the environment (IR-N) using the method of Goronovski et al. </w:t>
      </w:r>
      <w:r>
        <w:fldChar w:fldCharType="begin" w:fldLock="1"/>
      </w:r>
      <w:r w:rsidR="000E418E">
        <w:instrText>ADDIN CSL_CITATION {"citationItems":[{"id":"ITEM-1","itemData":{"DOI":"10.1016/j.jclepro.2017.11.131","ISSN":"09596526","abstract":"The potential impact of ionising radiation from enhanced exposure to Naturally Occurring Radioactive Materials (NORM) to humans and the environment is not currently accounted for sufficiently in Life Cycle Assessment (LCA). Here we present midpoint and endpoint characterisation factors resulting from the implementation of impact assessment models for human health and ecosystems for NORM exposure. These models build upon existing fate, exposure and effect models from the LCA and radiological literature. The newly developed models are applied to a theoretical study of the utilisation of bauxite residue, a by-product of alumina processing enriched in natural radionuclides, in building materials. The ecosystem models have significant sensitivity to uncertainties surrounding the differential environmental fate of parent and daughter radionuclides that are produced as a part of decay chains, and to assumptions regarding long term releases from landfill sites. However, conservative results for environmental exposure suggest that in addition to landfill of materials, power consumption (burning coal and mining uranium) is a potentially significant source of radiological impact to the environment. From a human perspective, exposure to NORM in the use phase of building materials is the dominant source of impact, with environmental releases of nuclides playing a comparatively minor role. At an endpoint level, the impact of NORM exposure is highly significant in comparison to other impact categories in the area of protection of human health. The dose increase is of an order of magnitude comparable to lifestyle factors. The results highlight the importance within LCA of having sufficient impact assessment models to capture all potential impacts, such that issues of burden shifting between impact measures can be captured, interpreted and resolved in the optimisation of product systems.","author":[{"dropping-particle":"","family":"Goronovski","given":"Andrei","non-dropping-particle":"","parse-names":false,"suffix":""},{"dropping-particle":"","family":"Joyce","given":"P. James","non-dropping-particle":"","parse-names":false,"suffix":""},{"dropping-particle":"","family":"Björklund","given":"Anna","non-dropping-particle":"","parse-names":false,"suffix":""},{"dropping-particle":"","family":"Finnveden","given":"Göran","non-dropping-particle":"","parse-names":false,"suffix":""},{"dropping-particle":"","family":"Tkaczyk","given":"Alan H.","non-dropping-particle":"","parse-names":false,"suffix":""}],"container-title":"Journal of Cleaner Production","id":"ITEM-1","issued":{"date-parts":[["2018"]]},"page":"2824-2839","title":"Impact assessment of enhanced exposure from Naturally Occurring Radioactive Materials (NORM) within LCA","type":"article-journal","volume":"172"},"suppress-author":1,"uris":["http://www.mendeley.com/documents/?uuid=df1ea08e-0529-4064-b3d0-43997d3c00bf"]}],"mendeley":{"formattedCitation":"(2018)","plainTextFormattedCitation":"(2018)","previouslyFormattedCitation":"(2018)"},"properties":{"noteIndex":0},"schema":"https://github.com/citation-style-language/schema/raw/master/csl-citation.json"}</w:instrText>
      </w:r>
      <w:r>
        <w:fldChar w:fldCharType="separate"/>
      </w:r>
      <w:r w:rsidRPr="00605E6D">
        <w:rPr>
          <w:noProof/>
        </w:rPr>
        <w:t>(2018)</w:t>
      </w:r>
      <w:r>
        <w:fldChar w:fldCharType="end"/>
      </w:r>
      <w:r w:rsidR="002A64B1">
        <w:t xml:space="preserve"> (Table </w:t>
      </w:r>
      <w:r w:rsidR="009F4EC7">
        <w:t>S1</w:t>
      </w:r>
      <w:r w:rsidR="002A64B1">
        <w:t>)</w:t>
      </w:r>
      <w:r>
        <w:t xml:space="preserve">. </w:t>
      </w:r>
      <w:r w:rsidR="004124EC">
        <w:t>Across all mix designs, ionising radiation from artificial radionuclides (IR-A) has between 75% and 85% of the impact of that from releases of NORM to the environment (IR-N).</w:t>
      </w:r>
    </w:p>
    <w:p w14:paraId="059F385F" w14:textId="0EBF2B96" w:rsidR="00F00DD8" w:rsidRDefault="00381D49" w:rsidP="004124EC">
      <w:r>
        <w:rPr>
          <w:noProof/>
          <w:lang w:eastAsia="en-GB"/>
        </w:rPr>
        <w:lastRenderedPageBreak/>
        <w:drawing>
          <wp:inline distT="0" distB="0" distL="0" distR="0" wp14:anchorId="46FA7AFD" wp14:editId="3C2D7D45">
            <wp:extent cx="5400000" cy="3804046"/>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00" cy="3804046"/>
                    </a:xfrm>
                    <a:prstGeom prst="rect">
                      <a:avLst/>
                    </a:prstGeom>
                    <a:noFill/>
                  </pic:spPr>
                </pic:pic>
              </a:graphicData>
            </a:graphic>
          </wp:inline>
        </w:drawing>
      </w:r>
    </w:p>
    <w:p w14:paraId="48425985" w14:textId="663B6C6E" w:rsidR="00894BFE" w:rsidRDefault="00F00DD8" w:rsidP="00143ECF">
      <w:pPr>
        <w:pStyle w:val="Caption"/>
      </w:pPr>
      <w:bookmarkStart w:id="10" w:name="_Ref489271396"/>
      <w:r>
        <w:t xml:space="preserve">Figure </w:t>
      </w:r>
      <w:r>
        <w:fldChar w:fldCharType="begin"/>
      </w:r>
      <w:r>
        <w:instrText xml:space="preserve"> SEQ Figure \* ARABIC </w:instrText>
      </w:r>
      <w:r>
        <w:fldChar w:fldCharType="separate"/>
      </w:r>
      <w:r w:rsidR="002B1423">
        <w:rPr>
          <w:noProof/>
        </w:rPr>
        <w:t>3</w:t>
      </w:r>
      <w:r>
        <w:fldChar w:fldCharType="end"/>
      </w:r>
      <w:bookmarkEnd w:id="10"/>
      <w:r>
        <w:t xml:space="preserve"> Relative impact of all six mix designs across the 13 impact categories. In all categories results are normalised to the mix design with the maximum impact in that category, such that the highest impact value is equal to 100%. Categories are ordered by the range between the highest and lowest impact. The shape of the points represents the materials and activating solutions used</w:t>
      </w:r>
      <w:r w:rsidR="00381D49">
        <w:t xml:space="preserve">. </w:t>
      </w:r>
      <w:r>
        <w:t xml:space="preserve">Full details of the mix designs described by each of the ID codes are provided in </w:t>
      </w:r>
      <w:r>
        <w:fldChar w:fldCharType="begin"/>
      </w:r>
      <w:r>
        <w:instrText xml:space="preserve"> REF _Ref495065978 \h </w:instrText>
      </w:r>
      <w:r>
        <w:fldChar w:fldCharType="separate"/>
      </w:r>
      <w:r w:rsidR="002B1423">
        <w:t xml:space="preserve">Table </w:t>
      </w:r>
      <w:r w:rsidR="002B1423">
        <w:rPr>
          <w:noProof/>
        </w:rPr>
        <w:t>1</w:t>
      </w:r>
      <w:r>
        <w:fldChar w:fldCharType="end"/>
      </w:r>
      <w:r>
        <w:t>.</w:t>
      </w:r>
      <w:r w:rsidR="00381D49">
        <w:t xml:space="preserve"> </w:t>
      </w:r>
      <w:r w:rsidR="00D443E2">
        <w:t>7-day</w:t>
      </w:r>
      <w:r w:rsidR="00381D49">
        <w:t xml:space="preserve"> compressive strengths are shown in brackets.</w:t>
      </w:r>
    </w:p>
    <w:p w14:paraId="2E8EE553" w14:textId="77777777" w:rsidR="004124EC" w:rsidRDefault="004124EC" w:rsidP="004124EC">
      <w:pPr>
        <w:pStyle w:val="Heading2"/>
      </w:pPr>
      <w:bookmarkStart w:id="11" w:name="_Ref495233954"/>
      <w:r>
        <w:t>K vs Na based activating solution</w:t>
      </w:r>
      <w:bookmarkEnd w:id="11"/>
      <w:r>
        <w:t xml:space="preserve"> (12-CS-K vs 12-CS-Na)</w:t>
      </w:r>
    </w:p>
    <w:p w14:paraId="5303DBC1" w14:textId="77777777" w:rsidR="004124EC" w:rsidRDefault="004124EC" w:rsidP="004124EC">
      <w:r>
        <w:t>Broadly speaking, two major hotspots dominate the impact of the IP blocks across all impact categories, firing of the precursor and production of the activating solution, with milling of the precursor representing an additional hotspot in some impact categories (</w:t>
      </w:r>
      <w:r>
        <w:fldChar w:fldCharType="begin"/>
      </w:r>
      <w:r>
        <w:instrText xml:space="preserve"> REF _Ref489272210 \h </w:instrText>
      </w:r>
      <w:r>
        <w:fldChar w:fldCharType="separate"/>
      </w:r>
      <w:r w:rsidR="002B1423" w:rsidRPr="009B12B7">
        <w:rPr>
          <w:lang w:val="nl-BE"/>
        </w:rPr>
        <w:t xml:space="preserve">Figure </w:t>
      </w:r>
      <w:r w:rsidR="002B1423">
        <w:rPr>
          <w:noProof/>
          <w:lang w:val="nl-BE"/>
        </w:rPr>
        <w:t>4</w:t>
      </w:r>
      <w:r>
        <w:fldChar w:fldCharType="end"/>
      </w:r>
      <w:r>
        <w:t xml:space="preserve">, panel A). </w:t>
      </w:r>
    </w:p>
    <w:p w14:paraId="194AD8AD" w14:textId="39097DA2" w:rsidR="004124EC" w:rsidRDefault="004124EC" w:rsidP="004124EC">
      <w:r>
        <w:t>Looking in more detail at individual mix designs allows for specific hotspots of environmental impact to be identified and explored. Two mix designs, the K-silicate activated 12</w:t>
      </w:r>
      <w:r>
        <w:noBreakHyphen/>
        <w:t>CS</w:t>
      </w:r>
      <w:r>
        <w:noBreakHyphen/>
        <w:t>K and Na-silicate activated 12</w:t>
      </w:r>
      <w:r>
        <w:noBreakHyphen/>
        <w:t>CS</w:t>
      </w:r>
      <w:r>
        <w:noBreakHyphen/>
        <w:t>Na were compared to assess the effect of activating solution. 12-CS-Na has a lower impact in 10 of the 13 impact categories, displaying a higher impact in global warming (GW), acidification (AC) and ozone depletion (OZD) (</w:t>
      </w:r>
      <w:r>
        <w:fldChar w:fldCharType="begin"/>
      </w:r>
      <w:r>
        <w:instrText xml:space="preserve"> REF _Ref489272210 \h </w:instrText>
      </w:r>
      <w:r>
        <w:fldChar w:fldCharType="separate"/>
      </w:r>
      <w:r w:rsidR="002B1423" w:rsidRPr="009B12B7">
        <w:rPr>
          <w:lang w:val="nl-BE"/>
        </w:rPr>
        <w:t xml:space="preserve">Figure </w:t>
      </w:r>
      <w:r w:rsidR="002B1423">
        <w:rPr>
          <w:noProof/>
          <w:lang w:val="nl-BE"/>
        </w:rPr>
        <w:t>4</w:t>
      </w:r>
      <w:r>
        <w:fldChar w:fldCharType="end"/>
      </w:r>
      <w:r>
        <w:t>, panel B). This is only partly explained by the impact of the activating solution itself (</w:t>
      </w:r>
      <w:r>
        <w:fldChar w:fldCharType="begin"/>
      </w:r>
      <w:r>
        <w:instrText xml:space="preserve"> REF _Ref489272210 \h </w:instrText>
      </w:r>
      <w:r>
        <w:fldChar w:fldCharType="separate"/>
      </w:r>
      <w:r w:rsidR="002B1423" w:rsidRPr="009B12B7">
        <w:rPr>
          <w:lang w:val="nl-BE"/>
        </w:rPr>
        <w:t xml:space="preserve">Figure </w:t>
      </w:r>
      <w:r w:rsidR="002B1423">
        <w:rPr>
          <w:noProof/>
          <w:lang w:val="nl-BE"/>
        </w:rPr>
        <w:t>4</w:t>
      </w:r>
      <w:r>
        <w:fldChar w:fldCharType="end"/>
      </w:r>
      <w:r>
        <w:t>, panel C). Na-silicate itself has a higher OZD impact than K-silicate, but a lower impact in the GW and AC categories. The higher impacts of 12-CS-Na in these two categories is explained by the lower liquid to solid ratio of this mix, meaning that there is a higher proportion of fired precursor in the final mix. For GW and AC, the proportion of impact resulting from the precursor is highest (89% and 87% of impact respectively), and in these cases the increased amount of precursor overrides the lower impact of the activating solution.</w:t>
      </w:r>
    </w:p>
    <w:p w14:paraId="0BE10692" w14:textId="22C16082" w:rsidR="004124EC" w:rsidRDefault="004124EC" w:rsidP="00B5787B">
      <w:r>
        <w:t>For these two mix designs it is also possible to consider ionising radiation impact at the use phase. In infrastructural applications, the dose received from the use phase is around 100 times greater than that resulting from releases of both artificial and NORM radionuclides to the environment in production (</w:t>
      </w:r>
      <w:r>
        <w:fldChar w:fldCharType="begin"/>
      </w:r>
      <w:r>
        <w:instrText xml:space="preserve"> REF _Ref496257343 \h </w:instrText>
      </w:r>
      <w:r>
        <w:fldChar w:fldCharType="separate"/>
      </w:r>
      <w:r w:rsidR="002B1423">
        <w:rPr>
          <w:b/>
          <w:bCs/>
          <w:lang w:val="en-US"/>
        </w:rPr>
        <w:t>Error! Reference source not found.</w:t>
      </w:r>
      <w:r>
        <w:fldChar w:fldCharType="end"/>
      </w:r>
      <w:r>
        <w:t xml:space="preserve">). The higher use phase exposure for 12-CS-K is as a result of the higher levels of potassium, and therefore the naturally occurring </w:t>
      </w:r>
      <w:r w:rsidRPr="007E5844">
        <w:rPr>
          <w:vertAlign w:val="superscript"/>
        </w:rPr>
        <w:t>40</w:t>
      </w:r>
      <w:r>
        <w:t>K isotope from the K-silicate activating solution.</w:t>
      </w:r>
      <w:r w:rsidR="00B5787B" w:rsidDel="00B5787B">
        <w:t xml:space="preserve"> </w:t>
      </w:r>
      <w:r>
        <w:br w:type="page"/>
      </w:r>
    </w:p>
    <w:p w14:paraId="18324419" w14:textId="77777777" w:rsidR="00F00DD8" w:rsidRDefault="00651237" w:rsidP="004124EC">
      <w:r>
        <w:rPr>
          <w:noProof/>
          <w:lang w:eastAsia="en-GB"/>
        </w:rPr>
        <w:lastRenderedPageBreak/>
        <w:drawing>
          <wp:inline distT="0" distB="0" distL="0" distR="0" wp14:anchorId="1EEA841C" wp14:editId="25DAE663">
            <wp:extent cx="5013960" cy="7688580"/>
            <wp:effectExtent l="0" t="0" r="0" b="762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3960" cy="7688580"/>
                    </a:xfrm>
                    <a:prstGeom prst="rect">
                      <a:avLst/>
                    </a:prstGeom>
                    <a:noFill/>
                    <a:ln>
                      <a:noFill/>
                    </a:ln>
                  </pic:spPr>
                </pic:pic>
              </a:graphicData>
            </a:graphic>
          </wp:inline>
        </w:drawing>
      </w:r>
    </w:p>
    <w:p w14:paraId="5B6B382A" w14:textId="5204AC8D" w:rsidR="00F00DD8" w:rsidRDefault="00F00DD8" w:rsidP="001F01A9">
      <w:pPr>
        <w:pStyle w:val="Caption"/>
      </w:pPr>
      <w:bookmarkStart w:id="12" w:name="_Ref489272210"/>
      <w:r w:rsidRPr="009B12B7">
        <w:rPr>
          <w:lang w:val="nl-BE"/>
        </w:rPr>
        <w:t xml:space="preserve">Figure </w:t>
      </w:r>
      <w:r w:rsidRPr="00807758">
        <w:fldChar w:fldCharType="begin"/>
      </w:r>
      <w:r w:rsidRPr="009B12B7">
        <w:rPr>
          <w:lang w:val="nl-BE"/>
        </w:rPr>
        <w:instrText xml:space="preserve"> SEQ Figure \* ARABIC </w:instrText>
      </w:r>
      <w:r w:rsidRPr="00807758">
        <w:fldChar w:fldCharType="separate"/>
      </w:r>
      <w:r w:rsidR="002B1423">
        <w:rPr>
          <w:noProof/>
          <w:lang w:val="nl-BE"/>
        </w:rPr>
        <w:t>4</w:t>
      </w:r>
      <w:r w:rsidRPr="00807758">
        <w:fldChar w:fldCharType="end"/>
      </w:r>
      <w:bookmarkEnd w:id="12"/>
      <w:r w:rsidRPr="009B12B7">
        <w:rPr>
          <w:lang w:val="nl-BE"/>
        </w:rPr>
        <w:t xml:space="preserve"> </w:t>
      </w:r>
      <w:r>
        <w:rPr>
          <w:lang w:val="nl-BE"/>
        </w:rPr>
        <w:t xml:space="preserve">LCA results comparing the </w:t>
      </w:r>
      <w:r w:rsidRPr="009B12B7">
        <w:rPr>
          <w:lang w:val="nl-BE"/>
        </w:rPr>
        <w:t>12-CS-K vs 12-CS-Na</w:t>
      </w:r>
      <w:r>
        <w:rPr>
          <w:lang w:val="nl-BE"/>
        </w:rPr>
        <w:t xml:space="preserve"> mix designs. Panel A shows the average contribution to overall impact of the precursor, the activating solution, milling, and other processes (combined)</w:t>
      </w:r>
      <w:r w:rsidR="00E16852">
        <w:rPr>
          <w:lang w:val="nl-BE"/>
        </w:rPr>
        <w:t xml:space="preserve"> for these two mix designs</w:t>
      </w:r>
      <w:r>
        <w:rPr>
          <w:lang w:val="nl-BE"/>
        </w:rPr>
        <w:t xml:space="preserve">. Impacts in all three panels  are ordered by the contribution of the precursor to the overall impact (descending). Panel B shows the relative impact of blocks produced from the 12-CS-K and 12-CS-Na mix designs. </w:t>
      </w:r>
      <w:r>
        <w:t xml:space="preserve">Results for all categories are normalised to the mix design with the maximum impact in that category, such that the highest impact value is equal to 100%. </w:t>
      </w:r>
      <w:r>
        <w:rPr>
          <w:lang w:val="nl-BE"/>
        </w:rPr>
        <w:t xml:space="preserve">Panel C shows the relative impact of K-silicate and Na-silicate activating solutions. </w:t>
      </w:r>
      <w:r>
        <w:t>Results for all categories are normalised to the activating solution with the maximum impact in that category, such that the highest impact value is equal to 100%.</w:t>
      </w:r>
      <w:r w:rsidRPr="00252367">
        <w:t xml:space="preserve"> </w:t>
      </w:r>
    </w:p>
    <w:p w14:paraId="0A9BAC5B" w14:textId="77777777" w:rsidR="00B5787B" w:rsidRDefault="00B5787B" w:rsidP="00B5787B">
      <w:pPr>
        <w:pStyle w:val="Caption"/>
        <w:keepNext/>
      </w:pPr>
      <w:r>
        <w:lastRenderedPageBreak/>
        <w:t xml:space="preserve">Table </w:t>
      </w:r>
      <w:r>
        <w:fldChar w:fldCharType="begin"/>
      </w:r>
      <w:r>
        <w:instrText xml:space="preserve"> SEQ Table \* ARABIC </w:instrText>
      </w:r>
      <w:r>
        <w:fldChar w:fldCharType="separate"/>
      </w:r>
      <w:r w:rsidR="002B1423">
        <w:rPr>
          <w:noProof/>
        </w:rPr>
        <w:t>3</w:t>
      </w:r>
      <w:r>
        <w:fldChar w:fldCharType="end"/>
      </w:r>
      <w:r>
        <w:t xml:space="preserve"> Sources of ionising radiation dose from the life cycle of mix designs 12-CS-K and 12-CS-Na</w:t>
      </w:r>
    </w:p>
    <w:tbl>
      <w:tblPr>
        <w:tblW w:w="6020" w:type="dxa"/>
        <w:jc w:val="center"/>
        <w:tblLook w:val="04A0" w:firstRow="1" w:lastRow="0" w:firstColumn="1" w:lastColumn="0" w:noHBand="0" w:noVBand="1"/>
      </w:tblPr>
      <w:tblGrid>
        <w:gridCol w:w="3660"/>
        <w:gridCol w:w="1128"/>
        <w:gridCol w:w="1232"/>
      </w:tblGrid>
      <w:tr w:rsidR="00B5787B" w:rsidRPr="00894BFE" w14:paraId="5A2733CD" w14:textId="77777777" w:rsidTr="00EC6BE0">
        <w:trPr>
          <w:trHeight w:val="288"/>
          <w:jc w:val="center"/>
        </w:trPr>
        <w:tc>
          <w:tcPr>
            <w:tcW w:w="3660" w:type="dxa"/>
            <w:vMerge w:val="restart"/>
            <w:tcBorders>
              <w:top w:val="single" w:sz="4" w:space="0" w:color="auto"/>
              <w:left w:val="nil"/>
              <w:bottom w:val="single" w:sz="4" w:space="0" w:color="000000"/>
              <w:right w:val="nil"/>
            </w:tcBorders>
            <w:shd w:val="clear" w:color="auto" w:fill="auto"/>
            <w:noWrap/>
            <w:vAlign w:val="center"/>
            <w:hideMark/>
          </w:tcPr>
          <w:p w14:paraId="112FD3A9" w14:textId="77777777" w:rsidR="00B5787B" w:rsidRPr="004124EC" w:rsidRDefault="00B5787B" w:rsidP="00EC6BE0">
            <w:pPr>
              <w:spacing w:after="0"/>
              <w:jc w:val="center"/>
              <w:rPr>
                <w:b/>
                <w:sz w:val="18"/>
              </w:rPr>
            </w:pPr>
            <w:r w:rsidRPr="004124EC">
              <w:rPr>
                <w:b/>
                <w:sz w:val="18"/>
              </w:rPr>
              <w:t>Ionising radiation exposure route</w:t>
            </w:r>
          </w:p>
        </w:tc>
        <w:tc>
          <w:tcPr>
            <w:tcW w:w="2360" w:type="dxa"/>
            <w:gridSpan w:val="2"/>
            <w:tcBorders>
              <w:top w:val="single" w:sz="4" w:space="0" w:color="auto"/>
              <w:left w:val="nil"/>
              <w:bottom w:val="nil"/>
              <w:right w:val="nil"/>
            </w:tcBorders>
            <w:shd w:val="clear" w:color="auto" w:fill="auto"/>
            <w:noWrap/>
            <w:vAlign w:val="center"/>
            <w:hideMark/>
          </w:tcPr>
          <w:p w14:paraId="72D7C180" w14:textId="77777777" w:rsidR="00B5787B" w:rsidRPr="004124EC" w:rsidRDefault="00B5787B" w:rsidP="00EC6BE0">
            <w:pPr>
              <w:spacing w:after="0"/>
              <w:jc w:val="center"/>
              <w:rPr>
                <w:b/>
                <w:sz w:val="18"/>
              </w:rPr>
            </w:pPr>
            <w:r w:rsidRPr="004124EC">
              <w:rPr>
                <w:b/>
                <w:sz w:val="18"/>
              </w:rPr>
              <w:t>Dose (man.Sv/m</w:t>
            </w:r>
            <w:r w:rsidRPr="004124EC">
              <w:rPr>
                <w:b/>
                <w:sz w:val="18"/>
                <w:vertAlign w:val="superscript"/>
              </w:rPr>
              <w:t>2</w:t>
            </w:r>
            <w:r w:rsidRPr="004124EC">
              <w:rPr>
                <w:b/>
                <w:sz w:val="18"/>
              </w:rPr>
              <w:t xml:space="preserve"> paving)</w:t>
            </w:r>
          </w:p>
        </w:tc>
      </w:tr>
      <w:tr w:rsidR="00B5787B" w:rsidRPr="00894BFE" w14:paraId="77F229F0" w14:textId="77777777" w:rsidTr="00EC6BE0">
        <w:trPr>
          <w:trHeight w:val="288"/>
          <w:jc w:val="center"/>
        </w:trPr>
        <w:tc>
          <w:tcPr>
            <w:tcW w:w="3660" w:type="dxa"/>
            <w:vMerge/>
            <w:tcBorders>
              <w:top w:val="single" w:sz="4" w:space="0" w:color="auto"/>
              <w:left w:val="nil"/>
              <w:bottom w:val="single" w:sz="4" w:space="0" w:color="000000"/>
              <w:right w:val="nil"/>
            </w:tcBorders>
            <w:vAlign w:val="center"/>
            <w:hideMark/>
          </w:tcPr>
          <w:p w14:paraId="2CFB1352" w14:textId="77777777" w:rsidR="00B5787B" w:rsidRPr="004124EC" w:rsidRDefault="00B5787B" w:rsidP="00EC6BE0">
            <w:pPr>
              <w:spacing w:after="0" w:line="240" w:lineRule="auto"/>
              <w:jc w:val="center"/>
              <w:rPr>
                <w:rFonts w:ascii="Arial" w:hAnsi="Arial"/>
                <w:b/>
                <w:color w:val="000000"/>
                <w:sz w:val="18"/>
              </w:rPr>
            </w:pPr>
          </w:p>
        </w:tc>
        <w:tc>
          <w:tcPr>
            <w:tcW w:w="1128" w:type="dxa"/>
            <w:tcBorders>
              <w:top w:val="nil"/>
              <w:left w:val="nil"/>
              <w:bottom w:val="single" w:sz="4" w:space="0" w:color="auto"/>
              <w:right w:val="nil"/>
            </w:tcBorders>
            <w:shd w:val="clear" w:color="auto" w:fill="auto"/>
            <w:noWrap/>
            <w:vAlign w:val="center"/>
            <w:hideMark/>
          </w:tcPr>
          <w:p w14:paraId="3720EE15" w14:textId="77777777" w:rsidR="00B5787B" w:rsidRPr="004124EC" w:rsidRDefault="00B5787B" w:rsidP="00EC6BE0">
            <w:pPr>
              <w:spacing w:after="0"/>
              <w:jc w:val="center"/>
              <w:rPr>
                <w:b/>
                <w:sz w:val="18"/>
              </w:rPr>
            </w:pPr>
            <w:r w:rsidRPr="004124EC">
              <w:rPr>
                <w:b/>
                <w:sz w:val="18"/>
              </w:rPr>
              <w:t>12-CS-K</w:t>
            </w:r>
          </w:p>
        </w:tc>
        <w:tc>
          <w:tcPr>
            <w:tcW w:w="1232" w:type="dxa"/>
            <w:tcBorders>
              <w:top w:val="nil"/>
              <w:left w:val="nil"/>
              <w:bottom w:val="single" w:sz="4" w:space="0" w:color="auto"/>
              <w:right w:val="nil"/>
            </w:tcBorders>
            <w:shd w:val="clear" w:color="auto" w:fill="auto"/>
            <w:noWrap/>
            <w:vAlign w:val="center"/>
            <w:hideMark/>
          </w:tcPr>
          <w:p w14:paraId="055A6570" w14:textId="77777777" w:rsidR="00B5787B" w:rsidRPr="004124EC" w:rsidRDefault="00B5787B" w:rsidP="00EC6BE0">
            <w:pPr>
              <w:spacing w:after="0"/>
              <w:jc w:val="center"/>
              <w:rPr>
                <w:b/>
                <w:sz w:val="18"/>
              </w:rPr>
            </w:pPr>
            <w:r w:rsidRPr="004124EC">
              <w:rPr>
                <w:b/>
                <w:sz w:val="18"/>
              </w:rPr>
              <w:t>12-CS-Na</w:t>
            </w:r>
          </w:p>
        </w:tc>
      </w:tr>
      <w:tr w:rsidR="00B5787B" w:rsidRPr="00894BFE" w14:paraId="78B95102" w14:textId="77777777" w:rsidTr="00EC6BE0">
        <w:trPr>
          <w:trHeight w:val="288"/>
          <w:jc w:val="center"/>
        </w:trPr>
        <w:tc>
          <w:tcPr>
            <w:tcW w:w="3660" w:type="dxa"/>
            <w:tcBorders>
              <w:top w:val="nil"/>
              <w:left w:val="nil"/>
              <w:bottom w:val="nil"/>
              <w:right w:val="nil"/>
            </w:tcBorders>
            <w:shd w:val="clear" w:color="auto" w:fill="auto"/>
            <w:noWrap/>
            <w:vAlign w:val="center"/>
            <w:hideMark/>
          </w:tcPr>
          <w:p w14:paraId="203FDB7E" w14:textId="77777777" w:rsidR="00B5787B" w:rsidRPr="004124EC" w:rsidRDefault="00B5787B" w:rsidP="00EC6BE0">
            <w:pPr>
              <w:spacing w:after="0"/>
              <w:jc w:val="center"/>
              <w:rPr>
                <w:sz w:val="18"/>
              </w:rPr>
            </w:pPr>
            <w:r w:rsidRPr="004124EC">
              <w:rPr>
                <w:sz w:val="18"/>
              </w:rPr>
              <w:t>Releases of NORM radionuclides</w:t>
            </w:r>
          </w:p>
        </w:tc>
        <w:tc>
          <w:tcPr>
            <w:tcW w:w="1128" w:type="dxa"/>
            <w:tcBorders>
              <w:top w:val="nil"/>
              <w:left w:val="nil"/>
              <w:bottom w:val="nil"/>
              <w:right w:val="nil"/>
            </w:tcBorders>
            <w:shd w:val="clear" w:color="auto" w:fill="auto"/>
            <w:noWrap/>
            <w:vAlign w:val="center"/>
            <w:hideMark/>
          </w:tcPr>
          <w:p w14:paraId="4CD43BA0" w14:textId="77777777" w:rsidR="00B5787B" w:rsidRPr="004124EC" w:rsidRDefault="00B5787B" w:rsidP="00EC6BE0">
            <w:pPr>
              <w:spacing w:after="0"/>
              <w:jc w:val="center"/>
              <w:rPr>
                <w:sz w:val="18"/>
              </w:rPr>
            </w:pPr>
            <w:r w:rsidRPr="004124EC">
              <w:rPr>
                <w:sz w:val="18"/>
              </w:rPr>
              <w:t>5.84 × 10</w:t>
            </w:r>
            <w:r w:rsidRPr="004124EC">
              <w:rPr>
                <w:sz w:val="18"/>
                <w:vertAlign w:val="superscript"/>
              </w:rPr>
              <w:t>-8</w:t>
            </w:r>
          </w:p>
        </w:tc>
        <w:tc>
          <w:tcPr>
            <w:tcW w:w="1232" w:type="dxa"/>
            <w:tcBorders>
              <w:top w:val="nil"/>
              <w:left w:val="nil"/>
              <w:bottom w:val="nil"/>
              <w:right w:val="nil"/>
            </w:tcBorders>
            <w:shd w:val="clear" w:color="auto" w:fill="auto"/>
            <w:noWrap/>
            <w:vAlign w:val="center"/>
            <w:hideMark/>
          </w:tcPr>
          <w:p w14:paraId="05005493" w14:textId="77777777" w:rsidR="00B5787B" w:rsidRPr="004124EC" w:rsidRDefault="00B5787B" w:rsidP="00EC6BE0">
            <w:pPr>
              <w:spacing w:after="0"/>
              <w:jc w:val="center"/>
              <w:rPr>
                <w:sz w:val="18"/>
              </w:rPr>
            </w:pPr>
            <w:r w:rsidRPr="004124EC">
              <w:rPr>
                <w:sz w:val="18"/>
              </w:rPr>
              <w:t>5.78 × 10</w:t>
            </w:r>
            <w:r w:rsidRPr="004124EC">
              <w:rPr>
                <w:sz w:val="18"/>
                <w:vertAlign w:val="superscript"/>
              </w:rPr>
              <w:t>-8</w:t>
            </w:r>
          </w:p>
        </w:tc>
      </w:tr>
      <w:tr w:rsidR="00B5787B" w:rsidRPr="00894BFE" w14:paraId="608BA2A1" w14:textId="77777777" w:rsidTr="00EC6BE0">
        <w:trPr>
          <w:trHeight w:val="288"/>
          <w:jc w:val="center"/>
        </w:trPr>
        <w:tc>
          <w:tcPr>
            <w:tcW w:w="3660" w:type="dxa"/>
            <w:tcBorders>
              <w:top w:val="nil"/>
              <w:left w:val="nil"/>
              <w:bottom w:val="nil"/>
              <w:right w:val="nil"/>
            </w:tcBorders>
            <w:shd w:val="clear" w:color="auto" w:fill="auto"/>
            <w:noWrap/>
            <w:vAlign w:val="center"/>
            <w:hideMark/>
          </w:tcPr>
          <w:p w14:paraId="7865B01C" w14:textId="77777777" w:rsidR="00B5787B" w:rsidRPr="004124EC" w:rsidRDefault="00B5787B" w:rsidP="00EC6BE0">
            <w:pPr>
              <w:spacing w:after="0"/>
              <w:jc w:val="center"/>
              <w:rPr>
                <w:sz w:val="18"/>
              </w:rPr>
            </w:pPr>
            <w:r w:rsidRPr="004124EC">
              <w:rPr>
                <w:sz w:val="18"/>
              </w:rPr>
              <w:t>Releases of artificial radionuclides</w:t>
            </w:r>
          </w:p>
        </w:tc>
        <w:tc>
          <w:tcPr>
            <w:tcW w:w="1128" w:type="dxa"/>
            <w:tcBorders>
              <w:top w:val="nil"/>
              <w:left w:val="nil"/>
              <w:bottom w:val="nil"/>
              <w:right w:val="nil"/>
            </w:tcBorders>
            <w:shd w:val="clear" w:color="auto" w:fill="auto"/>
            <w:noWrap/>
            <w:vAlign w:val="center"/>
            <w:hideMark/>
          </w:tcPr>
          <w:p w14:paraId="70222212" w14:textId="77777777" w:rsidR="00B5787B" w:rsidRPr="004124EC" w:rsidRDefault="00B5787B" w:rsidP="00EC6BE0">
            <w:pPr>
              <w:spacing w:after="0"/>
              <w:jc w:val="center"/>
              <w:rPr>
                <w:sz w:val="18"/>
              </w:rPr>
            </w:pPr>
            <w:r w:rsidRPr="004124EC">
              <w:rPr>
                <w:sz w:val="18"/>
              </w:rPr>
              <w:t>4.76 × 10</w:t>
            </w:r>
            <w:r w:rsidRPr="004124EC">
              <w:rPr>
                <w:sz w:val="18"/>
                <w:vertAlign w:val="superscript"/>
              </w:rPr>
              <w:t>-8</w:t>
            </w:r>
          </w:p>
        </w:tc>
        <w:tc>
          <w:tcPr>
            <w:tcW w:w="1232" w:type="dxa"/>
            <w:tcBorders>
              <w:top w:val="nil"/>
              <w:left w:val="nil"/>
              <w:bottom w:val="nil"/>
              <w:right w:val="nil"/>
            </w:tcBorders>
            <w:shd w:val="clear" w:color="auto" w:fill="auto"/>
            <w:noWrap/>
            <w:vAlign w:val="center"/>
            <w:hideMark/>
          </w:tcPr>
          <w:p w14:paraId="68820F23" w14:textId="77777777" w:rsidR="00B5787B" w:rsidRPr="004124EC" w:rsidRDefault="00B5787B" w:rsidP="00EC6BE0">
            <w:pPr>
              <w:spacing w:after="0"/>
              <w:jc w:val="center"/>
              <w:rPr>
                <w:sz w:val="18"/>
              </w:rPr>
            </w:pPr>
            <w:r w:rsidRPr="004124EC">
              <w:rPr>
                <w:sz w:val="18"/>
              </w:rPr>
              <w:t>4.65 × 10</w:t>
            </w:r>
            <w:r w:rsidRPr="004124EC">
              <w:rPr>
                <w:sz w:val="18"/>
                <w:vertAlign w:val="superscript"/>
              </w:rPr>
              <w:t>-8</w:t>
            </w:r>
          </w:p>
        </w:tc>
      </w:tr>
      <w:tr w:rsidR="00B5787B" w:rsidRPr="00894BFE" w14:paraId="19AA7D48" w14:textId="77777777" w:rsidTr="00EC6BE0">
        <w:trPr>
          <w:trHeight w:val="288"/>
          <w:jc w:val="center"/>
        </w:trPr>
        <w:tc>
          <w:tcPr>
            <w:tcW w:w="3660" w:type="dxa"/>
            <w:tcBorders>
              <w:top w:val="nil"/>
              <w:left w:val="nil"/>
              <w:bottom w:val="single" w:sz="4" w:space="0" w:color="auto"/>
              <w:right w:val="nil"/>
            </w:tcBorders>
            <w:shd w:val="clear" w:color="auto" w:fill="auto"/>
            <w:noWrap/>
            <w:vAlign w:val="center"/>
            <w:hideMark/>
          </w:tcPr>
          <w:p w14:paraId="67EAF06C" w14:textId="77777777" w:rsidR="00B5787B" w:rsidRPr="004124EC" w:rsidRDefault="00B5787B" w:rsidP="00EC6BE0">
            <w:pPr>
              <w:spacing w:after="0"/>
              <w:jc w:val="center"/>
              <w:rPr>
                <w:sz w:val="18"/>
              </w:rPr>
            </w:pPr>
            <w:r w:rsidRPr="004124EC">
              <w:rPr>
                <w:sz w:val="18"/>
              </w:rPr>
              <w:t>Use phase exposure from infrastructure</w:t>
            </w:r>
          </w:p>
        </w:tc>
        <w:tc>
          <w:tcPr>
            <w:tcW w:w="1128" w:type="dxa"/>
            <w:tcBorders>
              <w:top w:val="nil"/>
              <w:left w:val="nil"/>
              <w:bottom w:val="single" w:sz="4" w:space="0" w:color="auto"/>
              <w:right w:val="nil"/>
            </w:tcBorders>
            <w:shd w:val="clear" w:color="auto" w:fill="auto"/>
            <w:noWrap/>
            <w:vAlign w:val="center"/>
            <w:hideMark/>
          </w:tcPr>
          <w:p w14:paraId="3B165BB1" w14:textId="77777777" w:rsidR="00B5787B" w:rsidRPr="004124EC" w:rsidRDefault="00B5787B" w:rsidP="00EC6BE0">
            <w:pPr>
              <w:spacing w:after="0"/>
              <w:jc w:val="center"/>
              <w:rPr>
                <w:sz w:val="18"/>
              </w:rPr>
            </w:pPr>
            <w:r w:rsidRPr="004124EC">
              <w:rPr>
                <w:sz w:val="18"/>
              </w:rPr>
              <w:t>5.35 × 10</w:t>
            </w:r>
            <w:r w:rsidRPr="004124EC">
              <w:rPr>
                <w:sz w:val="18"/>
                <w:vertAlign w:val="superscript"/>
              </w:rPr>
              <w:t>-6</w:t>
            </w:r>
          </w:p>
        </w:tc>
        <w:tc>
          <w:tcPr>
            <w:tcW w:w="1232" w:type="dxa"/>
            <w:tcBorders>
              <w:top w:val="nil"/>
              <w:left w:val="nil"/>
              <w:bottom w:val="single" w:sz="4" w:space="0" w:color="auto"/>
              <w:right w:val="nil"/>
            </w:tcBorders>
            <w:shd w:val="clear" w:color="auto" w:fill="auto"/>
            <w:noWrap/>
            <w:vAlign w:val="center"/>
            <w:hideMark/>
          </w:tcPr>
          <w:p w14:paraId="63C863D3" w14:textId="77777777" w:rsidR="00B5787B" w:rsidRPr="004124EC" w:rsidRDefault="00B5787B" w:rsidP="00EC6BE0">
            <w:pPr>
              <w:spacing w:after="0"/>
              <w:jc w:val="center"/>
              <w:rPr>
                <w:sz w:val="18"/>
              </w:rPr>
            </w:pPr>
            <w:r w:rsidRPr="004124EC">
              <w:rPr>
                <w:sz w:val="18"/>
              </w:rPr>
              <w:t>5.12 × 10</w:t>
            </w:r>
            <w:r w:rsidRPr="004124EC">
              <w:rPr>
                <w:sz w:val="18"/>
                <w:vertAlign w:val="superscript"/>
              </w:rPr>
              <w:t>-6</w:t>
            </w:r>
          </w:p>
        </w:tc>
      </w:tr>
    </w:tbl>
    <w:p w14:paraId="181EEF92" w14:textId="77777777" w:rsidR="00B5787B" w:rsidRPr="00B5787B" w:rsidRDefault="00B5787B" w:rsidP="007930BC"/>
    <w:p w14:paraId="41C7EBFF" w14:textId="77777777" w:rsidR="004124EC" w:rsidRDefault="004124EC" w:rsidP="004124EC">
      <w:pPr>
        <w:pStyle w:val="Heading2"/>
      </w:pPr>
      <w:r>
        <w:t>Finer scale hotspots</w:t>
      </w:r>
    </w:p>
    <w:p w14:paraId="2DB56836" w14:textId="77777777" w:rsidR="004124EC" w:rsidRDefault="004124EC" w:rsidP="004124EC">
      <w:r>
        <w:t xml:space="preserve">Na based activation chemistry is likely to be more economically feasible in the alumina industry due to the availability of soda in the waste Bayer liquor and in the BR itself. Therefore 12-CS-Na was chosen for more detailed hotspot investigation. </w:t>
      </w:r>
    </w:p>
    <w:p w14:paraId="236B998A" w14:textId="52B13651" w:rsidR="004124EC" w:rsidRDefault="004124EC" w:rsidP="004124EC">
      <w:r>
        <w:fldChar w:fldCharType="begin"/>
      </w:r>
      <w:r>
        <w:instrText xml:space="preserve"> REF _Ref489274149 \h </w:instrText>
      </w:r>
      <w:r>
        <w:fldChar w:fldCharType="separate"/>
      </w:r>
      <w:r w:rsidR="002B1423">
        <w:t xml:space="preserve">Figure </w:t>
      </w:r>
      <w:r w:rsidR="002B1423">
        <w:rPr>
          <w:noProof/>
        </w:rPr>
        <w:t>5</w:t>
      </w:r>
      <w:r>
        <w:fldChar w:fldCharType="end"/>
      </w:r>
      <w:r>
        <w:t xml:space="preserve"> uses a novel hierarchical pie chart or ‘bulls-eye’ diagram to show the contribution of four levels of upstream processes to IP block production for five of the impact categories considered. These charts present the same information as the more common Sankey tree diagram (for an example see Appendix </w:t>
      </w:r>
      <w:r w:rsidR="007930BC">
        <w:t>4</w:t>
      </w:r>
      <w:r w:rsidR="00EF378F">
        <w:t>,</w:t>
      </w:r>
      <w:r>
        <w:t xml:space="preserve"> Figure S1), however rather than the thicknesses of the linking arrows representing the contribution to impact, this is represented by the arc angle of the pie chart. This makes the relative contributions easier to compare, and hotspots at multiple levels easier to identify.</w:t>
      </w:r>
    </w:p>
    <w:p w14:paraId="71EE0644" w14:textId="77777777" w:rsidR="004124EC" w:rsidRDefault="004124EC" w:rsidP="004124EC">
      <w:r>
        <w:t xml:space="preserve">As outlined in section </w:t>
      </w:r>
      <w:r>
        <w:fldChar w:fldCharType="begin"/>
      </w:r>
      <w:r>
        <w:instrText xml:space="preserve"> REF _Ref495233954 \r \h </w:instrText>
      </w:r>
      <w:r>
        <w:fldChar w:fldCharType="separate"/>
      </w:r>
      <w:r w:rsidR="002B1423">
        <w:t>4.2</w:t>
      </w:r>
      <w:r>
        <w:fldChar w:fldCharType="end"/>
      </w:r>
      <w:r>
        <w:t xml:space="preserve"> above, the fired precursor, the activating solution and milling are the major contributors to the total impact across all of the five impact categories shown. At the next level however, some differences are seen. For example, while the relative proportions of precursor and activating solution in Ring 2 for global warming impact and particulate matter formation are similar, the contribution of the direct combustion of the added carbon and the carbon content of the BR can be seen in the global warming diagram (Ring 3 – light purple, labelled).</w:t>
      </w:r>
    </w:p>
    <w:p w14:paraId="53735550" w14:textId="77777777" w:rsidR="004124EC" w:rsidRDefault="004124EC" w:rsidP="004124EC">
      <w:r>
        <w:t>For resource depletion, the production of sodium silicate is the major contributor, while the impact contribution made by the additives to the precursor mix, in particular the silica source is far greater than is seen for other impacts.</w:t>
      </w:r>
    </w:p>
    <w:p w14:paraId="0A9CCC96" w14:textId="77777777" w:rsidR="004124EC" w:rsidRDefault="004124EC" w:rsidP="004124EC">
      <w:r>
        <w:t xml:space="preserve">The different sources of impact in terms of ionising radiation can be clearly seen in the bottom right two diagrams of </w:t>
      </w:r>
      <w:r>
        <w:fldChar w:fldCharType="begin"/>
      </w:r>
      <w:r>
        <w:instrText xml:space="preserve"> REF _Ref489274149 \h </w:instrText>
      </w:r>
      <w:r>
        <w:fldChar w:fldCharType="separate"/>
      </w:r>
      <w:r w:rsidR="002B1423">
        <w:t xml:space="preserve">Figure </w:t>
      </w:r>
      <w:r w:rsidR="002B1423">
        <w:rPr>
          <w:noProof/>
        </w:rPr>
        <w:t>5</w:t>
      </w:r>
      <w:r>
        <w:fldChar w:fldCharType="end"/>
      </w:r>
      <w:r>
        <w:t xml:space="preserve">. For ionising radiation from artificial nuclides, electricity used at the rotary kiln (to provide the rotation), and in milling is a far larger hotspot for this impact than it is for all others, while the largest contributor to releases of NORM radionuclides is the combustion of hard coal. </w:t>
      </w:r>
    </w:p>
    <w:p w14:paraId="3C6146E5" w14:textId="77777777" w:rsidR="004124EC" w:rsidRDefault="004124EC" w:rsidP="004124EC">
      <w:r>
        <w:t>For the remaining impact categories, the pattern of hotspots is similar to that of particulate matter formation. The full results for all impact categories can be found in the electronic supplementary materials in the form of an .</w:t>
      </w:r>
      <w:proofErr w:type="spellStart"/>
      <w:r>
        <w:t>lcoptview</w:t>
      </w:r>
      <w:proofErr w:type="spellEnd"/>
      <w:r>
        <w:t xml:space="preserve"> file. This file can be opened and interactively explored using the free, open source software </w:t>
      </w:r>
      <w:proofErr w:type="spellStart"/>
      <w:r>
        <w:t>lcoptview</w:t>
      </w:r>
      <w:proofErr w:type="spellEnd"/>
      <w:r>
        <w:t>. Instructions are included in the electronic supplementary materials.</w:t>
      </w:r>
    </w:p>
    <w:p w14:paraId="6E0BDD62" w14:textId="77777777" w:rsidR="004124EC" w:rsidRPr="004124EC" w:rsidRDefault="004124EC" w:rsidP="004124EC"/>
    <w:p w14:paraId="6B86D27E" w14:textId="77777777" w:rsidR="00F00DD8" w:rsidRDefault="00651237" w:rsidP="004124EC">
      <w:r>
        <w:rPr>
          <w:noProof/>
          <w:lang w:eastAsia="en-GB"/>
        </w:rPr>
        <w:lastRenderedPageBreak/>
        <w:drawing>
          <wp:inline distT="0" distB="0" distL="0" distR="0" wp14:anchorId="59C530FD" wp14:editId="7CF54F9E">
            <wp:extent cx="5455920" cy="7414260"/>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55920" cy="7414260"/>
                    </a:xfrm>
                    <a:prstGeom prst="rect">
                      <a:avLst/>
                    </a:prstGeom>
                    <a:noFill/>
                    <a:ln>
                      <a:noFill/>
                    </a:ln>
                  </pic:spPr>
                </pic:pic>
              </a:graphicData>
            </a:graphic>
          </wp:inline>
        </w:drawing>
      </w:r>
    </w:p>
    <w:p w14:paraId="2E461918" w14:textId="77777777" w:rsidR="00F00DD8" w:rsidRDefault="00F00DD8" w:rsidP="009C2FCD">
      <w:pPr>
        <w:pStyle w:val="Caption"/>
      </w:pPr>
      <w:bookmarkStart w:id="13" w:name="_Ref489274149"/>
      <w:r>
        <w:t xml:space="preserve">Figure </w:t>
      </w:r>
      <w:r>
        <w:fldChar w:fldCharType="begin"/>
      </w:r>
      <w:r>
        <w:instrText xml:space="preserve"> SEQ Figure \* ARABIC </w:instrText>
      </w:r>
      <w:r>
        <w:fldChar w:fldCharType="separate"/>
      </w:r>
      <w:r w:rsidR="002B1423">
        <w:rPr>
          <w:noProof/>
        </w:rPr>
        <w:t>5</w:t>
      </w:r>
      <w:r>
        <w:fldChar w:fldCharType="end"/>
      </w:r>
      <w:bookmarkEnd w:id="13"/>
      <w:r>
        <w:t xml:space="preserve"> Hotspot diagrams for 12-CS-Na. These should be read as hierarchical pie charts, as outlined in the top right panel. Each ring represents a level of the system tree, with the arc angle representing the contribution to overall impact (as in a traditional pie chart). Selected hotspots are shown as annotations. In both ionising radiation categories only releases to the environment are considered. Use phase impacts of NORM are considered separately in </w:t>
      </w:r>
      <w:r>
        <w:fldChar w:fldCharType="begin"/>
      </w:r>
      <w:r>
        <w:instrText xml:space="preserve"> REF _Ref496257343 \h </w:instrText>
      </w:r>
      <w:r>
        <w:fldChar w:fldCharType="separate"/>
      </w:r>
      <w:r w:rsidR="002B1423">
        <w:rPr>
          <w:b w:val="0"/>
          <w:bCs w:val="0"/>
          <w:lang w:val="en-US"/>
        </w:rPr>
        <w:t>Error! Reference source not found.</w:t>
      </w:r>
      <w:r>
        <w:fldChar w:fldCharType="end"/>
      </w:r>
      <w:r>
        <w:t>.</w:t>
      </w:r>
    </w:p>
    <w:p w14:paraId="523D8828" w14:textId="77777777" w:rsidR="00F00DD8" w:rsidRDefault="00F00DD8" w:rsidP="004124EC">
      <w:r>
        <w:br w:type="page"/>
      </w:r>
    </w:p>
    <w:p w14:paraId="45BBDBBE" w14:textId="77777777" w:rsidR="00F00DD8" w:rsidRDefault="00F00DD8" w:rsidP="00566057">
      <w:pPr>
        <w:pStyle w:val="Heading2"/>
      </w:pPr>
      <w:r>
        <w:lastRenderedPageBreak/>
        <w:t>Sensitivity analyses</w:t>
      </w:r>
    </w:p>
    <w:p w14:paraId="648F79CA" w14:textId="77777777" w:rsidR="00EB5CD3" w:rsidRDefault="00EB5CD3" w:rsidP="007930BC">
      <w:pPr>
        <w:pStyle w:val="Heading3"/>
      </w:pPr>
      <w:r>
        <w:t>Firing alternatives</w:t>
      </w:r>
    </w:p>
    <w:p w14:paraId="52E9D14D" w14:textId="6F40283A" w:rsidR="00F00DD8" w:rsidRDefault="00F00DD8" w:rsidP="00894BFE">
      <w:r>
        <w:t xml:space="preserve">Two additional options for the firing of the precursor for mix design 12-CS-Na were assessed (100% natural gas, and sintering). The results of these assessments are summarised in </w:t>
      </w:r>
      <w:r>
        <w:fldChar w:fldCharType="begin"/>
      </w:r>
      <w:r>
        <w:instrText xml:space="preserve"> REF _Ref496259277 \h </w:instrText>
      </w:r>
      <w:r>
        <w:fldChar w:fldCharType="separate"/>
      </w:r>
      <w:r w:rsidR="002B1423">
        <w:t xml:space="preserve">Figure </w:t>
      </w:r>
      <w:r w:rsidR="002B1423">
        <w:rPr>
          <w:noProof/>
        </w:rPr>
        <w:t>6</w:t>
      </w:r>
      <w:r>
        <w:fldChar w:fldCharType="end"/>
      </w:r>
      <w:r>
        <w:t xml:space="preserve">. </w:t>
      </w:r>
    </w:p>
    <w:p w14:paraId="6F0F6989" w14:textId="77777777" w:rsidR="00F00DD8" w:rsidRDefault="00F00DD8" w:rsidP="00894BFE"/>
    <w:p w14:paraId="3D50A28F" w14:textId="77777777" w:rsidR="00F00DD8" w:rsidRDefault="00651237" w:rsidP="004124EC">
      <w:r>
        <w:rPr>
          <w:noProof/>
          <w:lang w:eastAsia="en-GB"/>
        </w:rPr>
        <w:drawing>
          <wp:inline distT="0" distB="0" distL="0" distR="0" wp14:anchorId="69FC6E4F" wp14:editId="1420CDF4">
            <wp:extent cx="5318760" cy="1706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18760" cy="1706880"/>
                    </a:xfrm>
                    <a:prstGeom prst="rect">
                      <a:avLst/>
                    </a:prstGeom>
                    <a:noFill/>
                    <a:ln>
                      <a:noFill/>
                    </a:ln>
                  </pic:spPr>
                </pic:pic>
              </a:graphicData>
            </a:graphic>
          </wp:inline>
        </w:drawing>
      </w:r>
    </w:p>
    <w:p w14:paraId="5979101B" w14:textId="77777777" w:rsidR="00F00DD8" w:rsidRDefault="00F00DD8" w:rsidP="005C4F48">
      <w:pPr>
        <w:pStyle w:val="Caption"/>
      </w:pPr>
      <w:bookmarkStart w:id="14" w:name="_Ref496259277"/>
      <w:bookmarkStart w:id="15" w:name="_Ref496259270"/>
      <w:r>
        <w:t xml:space="preserve">Figure </w:t>
      </w:r>
      <w:r>
        <w:fldChar w:fldCharType="begin"/>
      </w:r>
      <w:r>
        <w:instrText xml:space="preserve"> SEQ Figure \* ARABIC </w:instrText>
      </w:r>
      <w:r>
        <w:fldChar w:fldCharType="separate"/>
      </w:r>
      <w:r w:rsidR="002B1423">
        <w:rPr>
          <w:noProof/>
        </w:rPr>
        <w:t>6</w:t>
      </w:r>
      <w:r>
        <w:fldChar w:fldCharType="end"/>
      </w:r>
      <w:bookmarkEnd w:id="14"/>
      <w:r>
        <w:t xml:space="preserve"> Comparison of impact of 12-CS-Na using natural gas firing and sintering to the base case. Grey bars are set to 100% and represent the base case results for 12-CS-Na. Natural gas firing and sintering results are shown relative to the impact of 12-CS-Na.</w:t>
      </w:r>
      <w:bookmarkEnd w:id="15"/>
    </w:p>
    <w:p w14:paraId="146BB294" w14:textId="48BAD276" w:rsidR="00F00DD8" w:rsidRDefault="00F00DD8" w:rsidP="00894BFE">
      <w:r>
        <w:t>Use of natural gas as the energy source leads to a lower impact across all but one of the impact categories assessed (</w:t>
      </w:r>
      <w:r>
        <w:fldChar w:fldCharType="begin"/>
      </w:r>
      <w:r>
        <w:instrText xml:space="preserve"> REF _Ref496259277 \h </w:instrText>
      </w:r>
      <w:r>
        <w:fldChar w:fldCharType="separate"/>
      </w:r>
      <w:r w:rsidR="002B1423">
        <w:t xml:space="preserve">Figure </w:t>
      </w:r>
      <w:r w:rsidR="002B1423">
        <w:rPr>
          <w:noProof/>
        </w:rPr>
        <w:t>6</w:t>
      </w:r>
      <w:r>
        <w:fldChar w:fldCharType="end"/>
      </w:r>
      <w:r>
        <w:t xml:space="preserve">). This one category is ozone depletion, and results primarily from emissions of the ozone depleting substances Halon 1301 and Halon 1211 which are used as fire suppressants in the production and transmission of natural gas. These chemicals were banned under the Montreal protocol however the use of Halon 1301 in the EU is considered a critical use under Annex VII of </w:t>
      </w:r>
      <w:r w:rsidRPr="007E5844">
        <w:t>EC Regulation 2037/2000</w:t>
      </w:r>
      <w:r>
        <w:t xml:space="preserve"> </w:t>
      </w:r>
      <w:r>
        <w:fldChar w:fldCharType="begin" w:fldLock="1"/>
      </w:r>
      <w:r w:rsidR="000E418E">
        <w:instrText>ADDIN CSL_CITATION {"citationItems":[{"id":"ITEM-1","itemData":{"author":[{"dropping-particle":"","family":"European Commission","given":"","non-dropping-particle":"","parse-names":false,"suffix":""}],"container-title":"Official Journal of the European Communities","id":"ITEM-1","issue":"June","issued":{"date-parts":[["2000"]]},"page":"L244/1-24","title":"Regulation (EC) No 2037/2000 of the European Parliament and the Council of 29 June 2000 on substances that deplete the ozone layer","type":"article-journal","volume":"4"},"uris":["http://www.mendeley.com/documents/?uuid=45b32ab6-a1cb-4275-b83e-17d3c09a1655"]}],"mendeley":{"formattedCitation":"(European Commission, 2000)","plainTextFormattedCitation":"(European Commission, 2000)","previouslyFormattedCitation":"(European Commission, 2000)"},"properties":{"noteIndex":0},"schema":"https://github.com/citation-style-language/schema/raw/master/csl-citation.json"}</w:instrText>
      </w:r>
      <w:r>
        <w:fldChar w:fldCharType="separate"/>
      </w:r>
      <w:r w:rsidRPr="007E5844">
        <w:rPr>
          <w:noProof/>
        </w:rPr>
        <w:t>(European Commission, 2000)</w:t>
      </w:r>
      <w:r>
        <w:fldChar w:fldCharType="end"/>
      </w:r>
      <w:r>
        <w:t xml:space="preserve"> in fire suppression in the </w:t>
      </w:r>
      <w:r w:rsidRPr="007E5844">
        <w:t>gas and petrochemical sector</w:t>
      </w:r>
      <w:r>
        <w:t>.</w:t>
      </w:r>
    </w:p>
    <w:p w14:paraId="02AE9848" w14:textId="70EE0F2E" w:rsidR="00F00DD8" w:rsidRDefault="00F00DD8" w:rsidP="00894BFE">
      <w:r>
        <w:t xml:space="preserve">Sintering has a higher impact across 10 of the 13 impact categories, including climate change and particulate matter formation. This is despite the fact that the sintering process uses slightly less energy than rotary kiln firing (1.46 MJ/kg vs 1.47 MJ/kg) and is as a result of the use of coke as the primary energy </w:t>
      </w:r>
      <w:r w:rsidR="00894BFE">
        <w:t>source</w:t>
      </w:r>
      <w:r>
        <w:t>.</w:t>
      </w:r>
    </w:p>
    <w:p w14:paraId="08AE4431" w14:textId="2EEBBE4B" w:rsidR="00EB5CD3" w:rsidRDefault="00EB5CD3" w:rsidP="007930BC">
      <w:pPr>
        <w:pStyle w:val="Heading3"/>
      </w:pPr>
      <w:r>
        <w:t>Transport to installation</w:t>
      </w:r>
    </w:p>
    <w:p w14:paraId="5EA1E9B9" w14:textId="4FD9B5D4" w:rsidR="00EB5CD3" w:rsidRDefault="00F9077E" w:rsidP="007930BC">
      <w:pPr>
        <w:keepNext/>
        <w:jc w:val="center"/>
      </w:pPr>
      <w:r>
        <w:rPr>
          <w:noProof/>
          <w:lang w:eastAsia="en-GB"/>
        </w:rPr>
        <w:drawing>
          <wp:inline distT="0" distB="0" distL="0" distR="0" wp14:anchorId="273BF02B" wp14:editId="566E0053">
            <wp:extent cx="4320000" cy="2698092"/>
            <wp:effectExtent l="0" t="0" r="444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20000" cy="2698092"/>
                    </a:xfrm>
                    <a:prstGeom prst="rect">
                      <a:avLst/>
                    </a:prstGeom>
                    <a:noFill/>
                  </pic:spPr>
                </pic:pic>
              </a:graphicData>
            </a:graphic>
          </wp:inline>
        </w:drawing>
      </w:r>
    </w:p>
    <w:p w14:paraId="4354F569" w14:textId="69A2B4D6" w:rsidR="00EB5CD3" w:rsidRDefault="00EB5CD3" w:rsidP="007930BC">
      <w:pPr>
        <w:pStyle w:val="Caption"/>
      </w:pPr>
      <w:bookmarkStart w:id="16" w:name="_Ref510795108"/>
      <w:r>
        <w:t xml:space="preserve">Figure </w:t>
      </w:r>
      <w:r>
        <w:fldChar w:fldCharType="begin"/>
      </w:r>
      <w:r>
        <w:instrText xml:space="preserve"> SEQ Figure \* ARABIC </w:instrText>
      </w:r>
      <w:r>
        <w:fldChar w:fldCharType="separate"/>
      </w:r>
      <w:r w:rsidR="002B1423">
        <w:rPr>
          <w:noProof/>
        </w:rPr>
        <w:t>7</w:t>
      </w:r>
      <w:r>
        <w:fldChar w:fldCharType="end"/>
      </w:r>
      <w:bookmarkEnd w:id="16"/>
      <w:r>
        <w:t xml:space="preserve"> </w:t>
      </w:r>
      <w:proofErr w:type="gramStart"/>
      <w:r>
        <w:t>Effect</w:t>
      </w:r>
      <w:proofErr w:type="gramEnd"/>
      <w:r>
        <w:t xml:space="preserve"> of transport to point of installation vs</w:t>
      </w:r>
      <w:r w:rsidRPr="00EB5CD3">
        <w:t xml:space="preserve"> the base case. Grey bars are set to 100% and represent the base case results for 12-CS-Na. </w:t>
      </w:r>
      <w:r>
        <w:t>The effect of including transport of 50 km (light blue) and 300 km (dark blue) are shown relative to the base case.</w:t>
      </w:r>
    </w:p>
    <w:p w14:paraId="64E0A2BC" w14:textId="041F45D0" w:rsidR="00EB5CD3" w:rsidRPr="00EB5CD3" w:rsidRDefault="00EB5CD3" w:rsidP="00B5787B">
      <w:r>
        <w:lastRenderedPageBreak/>
        <w:t>The results for the 12-CS-Na are relatively insensitive to the addition of local transport typical of bulk building products (50 km), with the greatest effect seen in the resource depletion impact category (1</w:t>
      </w:r>
      <w:r w:rsidR="00F9077E">
        <w:t>13</w:t>
      </w:r>
      <w:r>
        <w:t>% of the baseline)</w:t>
      </w:r>
      <w:r w:rsidR="00D61833">
        <w:t xml:space="preserve"> (</w:t>
      </w:r>
      <w:r w:rsidR="00D61833">
        <w:fldChar w:fldCharType="begin"/>
      </w:r>
      <w:r w:rsidR="00D61833">
        <w:instrText xml:space="preserve"> REF _Ref510795108 \h </w:instrText>
      </w:r>
      <w:r w:rsidR="00D61833">
        <w:fldChar w:fldCharType="separate"/>
      </w:r>
      <w:r w:rsidR="002B1423">
        <w:t xml:space="preserve">Figure </w:t>
      </w:r>
      <w:r w:rsidR="002B1423">
        <w:rPr>
          <w:noProof/>
        </w:rPr>
        <w:t>7</w:t>
      </w:r>
      <w:r w:rsidR="00D61833">
        <w:fldChar w:fldCharType="end"/>
      </w:r>
      <w:r w:rsidR="00D61833">
        <w:t>)</w:t>
      </w:r>
      <w:r>
        <w:t>. For all other impact categories including local transport results in impact no greater than 10</w:t>
      </w:r>
      <w:r w:rsidR="00F9077E">
        <w:t>5</w:t>
      </w:r>
      <w:r>
        <w:t>% of the baseline. At 300km however, the effect is significant. Here transport to site becomes the single largest contributor to resource depletion, and makes a substantial contribution (</w:t>
      </w:r>
      <w:r w:rsidR="00F9077E">
        <w:t>&gt;15</w:t>
      </w:r>
      <w:r>
        <w:t xml:space="preserve">% of total impact) to </w:t>
      </w:r>
      <w:r w:rsidR="00F9077E">
        <w:t>three</w:t>
      </w:r>
      <w:r>
        <w:t xml:space="preserve"> further impact categories (FT, HT-NC, OZD, POC, ME).</w:t>
      </w:r>
    </w:p>
    <w:p w14:paraId="7F14C4B0" w14:textId="690EABB8" w:rsidR="00F00DD8" w:rsidRDefault="003277F5" w:rsidP="00481C75">
      <w:pPr>
        <w:pStyle w:val="Heading1"/>
      </w:pPr>
      <w:r>
        <w:t>D</w:t>
      </w:r>
      <w:r w:rsidR="00F00DD8">
        <w:t>iscussion</w:t>
      </w:r>
    </w:p>
    <w:p w14:paraId="5ACA9F88" w14:textId="0E94E042" w:rsidR="00F00DD8" w:rsidRDefault="00B8292B" w:rsidP="00B8292B">
      <w:r>
        <w:t xml:space="preserve">Hotspots analysis, broadly defined, can be used to identify the most significant environmental impacts associated with a given product or process and subsequently to both identify possible solutions to reduce this impact and prioritise these actions </w:t>
      </w:r>
      <w:r>
        <w:fldChar w:fldCharType="begin" w:fldLock="1"/>
      </w:r>
      <w:r w:rsidR="000E418E">
        <w:instrText>ADDIN CSL_CITATION {"citationItems":[{"id":"ITEM-1","itemData":{"DOI":"10.1007/978-94-017-7221-1_12","ISBN":"978-94-017-7220-4","ISSN":"03787206","author":[{"dropping-particle":"","family":"Barthel","given":"Mark","non-dropping-particle":"","parse-names":false,"suffix":""},{"dropping-particle":"","family":"Fava","given":"James A","non-dropping-particle":"","parse-names":false,"suffix":""},{"dropping-particle":"","family":"Harnanan","given":"Curtis A","non-dropping-particle":"","parse-names":false,"suffix":""},{"dropping-particle":"","family":"Strothmann","given":"Philip","non-dropping-particle":"","parse-names":false,"suffix":""},{"dropping-particle":"","family":"Khan","given":"Sofia","non-dropping-particle":"","parse-names":false,"suffix":""},{"dropping-particle":"","family":"Miller","given":"Simon","non-dropping-particle":"","parse-names":false,"suffix":""}],"container-title":"Life Cycle Management. LCA Compendium – The Complete World of Life Cycle Assessment","editor":[{"dropping-particle":"","family":"Sonnemann","given":"G.","non-dropping-particle":"","parse-names":false,"suffix":""},{"dropping-particle":"","family":"Margni","given":"M.","non-dropping-particle":"","parse-names":false,"suffix":""}],"id":"ITEM-1","issued":{"date-parts":[["2015"]]},"page":"149-167","publisher":"Springer","publisher-place":"Dordrecht","title":"Hotspots Analysis: Providing the Focus for Action","type":"chapter"},"uris":["http://www.mendeley.com/documents/?uuid=35e59dc5-4ec7-4641-97ff-1a4898288fa0"]}],"mendeley":{"formattedCitation":"(Barthel et al., 2015)","plainTextFormattedCitation":"(Barthel et al., 2015)","previouslyFormattedCitation":"(Barthel et al., 2015)"},"properties":{"noteIndex":0},"schema":"https://github.com/citation-style-language/schema/raw/master/csl-citation.json"}</w:instrText>
      </w:r>
      <w:r>
        <w:fldChar w:fldCharType="separate"/>
      </w:r>
      <w:r w:rsidRPr="00B8292B">
        <w:rPr>
          <w:noProof/>
        </w:rPr>
        <w:t>(Barthel et al., 2015)</w:t>
      </w:r>
      <w:r>
        <w:fldChar w:fldCharType="end"/>
      </w:r>
      <w:r>
        <w:t>.</w:t>
      </w:r>
      <w:r>
        <w:rPr>
          <w:i/>
        </w:rPr>
        <w:t xml:space="preserve"> </w:t>
      </w:r>
      <w:r>
        <w:t xml:space="preserve">Individual life cycle elements or processes which contribute substantially to a range of impact categories can be considered high priority targets for substitution or improvement, as this is likely to have the greatest overall effect on reducing the life cycle environmental impact of the overall process. </w:t>
      </w:r>
      <w:r w:rsidR="00F00DD8">
        <w:t xml:space="preserve">The potential hotspots of environmental impact identified in this study provide the first step on a route towards the reduction of the impact of </w:t>
      </w:r>
      <w:r w:rsidR="0022356B">
        <w:t>the production of BR derived inorganic polymers</w:t>
      </w:r>
      <w:r w:rsidR="00F00DD8">
        <w:t xml:space="preserve"> in order to maximise the sustainability benefits of BR valorisation.</w:t>
      </w:r>
    </w:p>
    <w:p w14:paraId="2A56FE19" w14:textId="552DC866" w:rsidR="00F00DD8" w:rsidRDefault="00B8292B" w:rsidP="00894BFE">
      <w:r>
        <w:t xml:space="preserve">As with the overall LCA framework, hotspots analysis is commonly an iterative process, in particular it can be successively carried out at multiple scales or levels </w:t>
      </w:r>
      <w:r>
        <w:fldChar w:fldCharType="begin" w:fldLock="1"/>
      </w:r>
      <w:r w:rsidR="000E418E">
        <w:instrText>ADDIN CSL_CITATION {"citationItems":[{"id":"ITEM-1","itemData":{"author":[{"dropping-particle":"","family":"UNEP-SETAC","given":"","non-dropping-particle":"","parse-names":false,"suffix":""}],"container-title":"UNEP/SETAC Life Cycle Initiative - Flagship Project 3a (Phase 1)","id":"ITEM-1","issue":"December","issued":{"date-parts":[["2014"]]},"title":"Hotspots Analysis: mapping of existing methodologies, tools and guidance and initial recommendations for the development of global guidance","type":"article-journal","volume":"2014"},"uris":["http://www.mendeley.com/documents/?uuid=ce568bc3-371e-411d-929b-4f9721399418"]}],"mendeley":{"formattedCitation":"(UNEP-SETAC, 2014)","plainTextFormattedCitation":"(UNEP-SETAC, 2014)","previouslyFormattedCitation":"(UNEP-SETAC, 2014)"},"properties":{"noteIndex":0},"schema":"https://github.com/citation-style-language/schema/raw/master/csl-citation.json"}</w:instrText>
      </w:r>
      <w:r>
        <w:fldChar w:fldCharType="separate"/>
      </w:r>
      <w:r w:rsidRPr="00B8292B">
        <w:rPr>
          <w:noProof/>
        </w:rPr>
        <w:t>(UNEP-SETAC, 2014)</w:t>
      </w:r>
      <w:r>
        <w:fldChar w:fldCharType="end"/>
      </w:r>
      <w:r>
        <w:t>, leading to a hierarchy of hotspots. This is the case in this study. At the highest level, that of life cycle stages, processing of the BR into an active precursor material stands out as the most significant hotspot of environmental impact in the life cycle of BR derived inorganic polymer paving blocks across all but one impact category. Within the anticipatory LCA framework, this is also the part of the life cycle upon which research and development can have the most influence, and as such is of high priority for action to reduce the impact. Acquisition of raw materials, most significantly the alkali silicates required for the activating solution represents the most significant hotspot in the resource depletion impact category, and is a secondary hotspot in all other categories. This stands i</w:t>
      </w:r>
      <w:r w:rsidR="00F00DD8">
        <w:t xml:space="preserve">n contrast to many previous studies of secondary material based geopolymers, </w:t>
      </w:r>
      <w:r>
        <w:t xml:space="preserve">in which </w:t>
      </w:r>
      <w:r w:rsidR="00F00DD8">
        <w:t xml:space="preserve">the activating solution is the major hotspot of impact. </w:t>
      </w:r>
    </w:p>
    <w:p w14:paraId="3A92D32F" w14:textId="00449B98" w:rsidR="000D0DBA" w:rsidRDefault="00B8292B" w:rsidP="00894BFE">
      <w:r>
        <w:t>Within the broader banner of ‘processing’, t</w:t>
      </w:r>
      <w:r w:rsidR="00F00DD8">
        <w:t>he energy used in the firing process</w:t>
      </w:r>
      <w:r w:rsidR="00E178D9">
        <w:t xml:space="preserve"> is</w:t>
      </w:r>
      <w:r w:rsidR="00F00DD8">
        <w:t xml:space="preserve"> the most significant hotspot of impact</w:t>
      </w:r>
      <w:r w:rsidR="000D0DBA">
        <w:t>, and represents a high priority target for improvement</w:t>
      </w:r>
      <w:r w:rsidR="00F00DD8">
        <w:t>. Use of this energy is thermodynamically unavoidable</w:t>
      </w:r>
      <w:r>
        <w:t>, it is required to increase the reactivity of the BR</w:t>
      </w:r>
      <w:r w:rsidR="00F00DD8">
        <w:t xml:space="preserve">, </w:t>
      </w:r>
      <w:proofErr w:type="gramStart"/>
      <w:r w:rsidR="00F00DD8">
        <w:t>however</w:t>
      </w:r>
      <w:proofErr w:type="gramEnd"/>
      <w:r w:rsidR="00F00DD8">
        <w:t xml:space="preserve"> </w:t>
      </w:r>
      <w:r w:rsidR="000D0DBA">
        <w:t>options exist to potentially reduce the impact caused. For example, i</w:t>
      </w:r>
      <w:r w:rsidR="00F00DD8">
        <w:t>n the immediate future, ‘cleaner burni</w:t>
      </w:r>
      <w:r w:rsidR="00EF378F">
        <w:t xml:space="preserve">ng’ fuels </w:t>
      </w:r>
      <w:r w:rsidR="00F00DD8">
        <w:t>could be utilised in the</w:t>
      </w:r>
      <w:r w:rsidR="000D0DBA">
        <w:t xml:space="preserve"> existing</w:t>
      </w:r>
      <w:r w:rsidR="00F00DD8">
        <w:t xml:space="preserve"> alumina plant rotary kiln.</w:t>
      </w:r>
      <w:r w:rsidR="000D0DBA">
        <w:t xml:space="preserve"> As shown in the sensitivity analysis, firing with natural gas leads to a decrease in impact in all but one impact category vs the baseline system. In some regions, bio-based secondary fuels (such as wood waste) may offer a suitable substitute energy source with a lower environmental impact, while promoting industrial symbiosis. The magnitude of any savings in this case would however depend on the impacts associated with transporting the fuels to the processing site. </w:t>
      </w:r>
    </w:p>
    <w:p w14:paraId="665EC8D1" w14:textId="300ACD5E" w:rsidR="00F00DD8" w:rsidRDefault="00F00DD8" w:rsidP="00894BFE">
      <w:r>
        <w:t xml:space="preserve">In the medium term innovative new </w:t>
      </w:r>
      <w:r w:rsidR="000D0DBA">
        <w:t xml:space="preserve">heating </w:t>
      </w:r>
      <w:r>
        <w:t>methods may offer a more sustainable outlook. Microwave heating</w:t>
      </w:r>
      <w:r w:rsidR="00746B1C">
        <w:t xml:space="preserve"> </w:t>
      </w:r>
      <w:r>
        <w:t xml:space="preserve">has </w:t>
      </w:r>
      <w:r w:rsidR="000D0DBA">
        <w:t xml:space="preserve">been trialled in the recovery of iron from BR and </w:t>
      </w:r>
      <w:r>
        <w:t xml:space="preserve">fast reaction times and instantaneous heating </w:t>
      </w:r>
      <w:r w:rsidR="00746B1C">
        <w:t>from within the material</w:t>
      </w:r>
      <w:r w:rsidR="000D0DBA">
        <w:t xml:space="preserve"> have been observed</w:t>
      </w:r>
      <w:r w:rsidR="00746B1C">
        <w:t xml:space="preserve"> </w:t>
      </w:r>
      <w:r w:rsidR="00746B1C">
        <w:fldChar w:fldCharType="begin" w:fldLock="1"/>
      </w:r>
      <w:r w:rsidR="000E418E">
        <w:instrText>ADDIN CSL_CITATION {"citationItems":[{"id":"ITEM-1","itemData":{"DOI":"10.1016/j.jhazmat.2013.03.059","ISBN":"0304-3894","ISSN":"03043894","PMID":"23611801","abstract":"The present research work is focused on the development of an alternative microwave reductive roasting process of red mud using lignite (30.15wt.%Cfix), followed by wet magnetic separation, in order to produce a raw material suitable for sponge or cast iron production. The reduction degree of iron was controlled by both the reductive agent content and the microwave heating time. The reduction followed the Fe2O3???Fe3O4???FeO???Fe sequence. The dielectric constants [real (??') and imaginary (?????) permittivities] of red mud-lignite mixture were determined at 2.45GHz, in the temperature range of 25-1100??C. The effect of parameters such as temperature, intensity of reducing conditions, intensity of magnetic field and dispersing agent addition rate on the result of both processes was investigated. The phase's transformations in reduction process with microwave heating were determined by X-ray diffraction analysis (XRD) in combination with thermogravimetric/differential thermal analysis (TGA/DTA). The microstructural and morphological characterization of the produced calcines was carried out by scanning electron microscopy (SEM). At the optimum conditions a magnetic concentrate with total iron concentration of 35.15 and 69.3wt.% metallization degree was obtained. ?? 2013 Elsevier B.V.","author":[{"dropping-particle":"","family":"Samouhos","given":"Michail","non-dropping-particle":"","parse-names":false,"suffix":""},{"dropping-particle":"","family":"Taxiarchou","given":"Maria","non-dropping-particle":"","parse-names":false,"suffix":""},{"dropping-particle":"","family":"Tsakiridis","given":"Petros E.","non-dropping-particle":"","parse-names":false,"suffix":""},{"dropping-particle":"","family":"Potiriadis","given":"Konstantinos","non-dropping-particle":"","parse-names":false,"suffix":""}],"container-title":"Journal of Hazardous Materials","id":"ITEM-1","issue":"1","issued":{"date-parts":[["2013"]]},"page":"193-205","publisher":"Elsevier B.V.","title":"Greek \"red mud\" residue: A study of microwave reductive roasting followed by magnetic separation for a metallic iron recovery process","type":"article-journal","volume":"254-255"},"uris":["http://www.mendeley.com/documents/?uuid=693196b9-f2bf-49a7-95f7-3d066af2d5ee"]}],"mendeley":{"formattedCitation":"(Samouhos et al., 2013)","plainTextFormattedCitation":"(Samouhos et al., 2013)","previouslyFormattedCitation":"(Samouhos et al., 2013)"},"properties":{"noteIndex":0},"schema":"https://github.com/citation-style-language/schema/raw/master/csl-citation.json"}</w:instrText>
      </w:r>
      <w:r w:rsidR="00746B1C">
        <w:fldChar w:fldCharType="separate"/>
      </w:r>
      <w:r w:rsidR="00746B1C" w:rsidRPr="00746B1C">
        <w:rPr>
          <w:noProof/>
        </w:rPr>
        <w:t>(Samouhos et al., 2013)</w:t>
      </w:r>
      <w:r w:rsidR="00746B1C">
        <w:fldChar w:fldCharType="end"/>
      </w:r>
      <w:r w:rsidR="000D0DBA">
        <w:t>,</w:t>
      </w:r>
      <w:r>
        <w:t xml:space="preserve"> which may result in lower energy use</w:t>
      </w:r>
      <w:r w:rsidR="000D0DBA">
        <w:t xml:space="preserve"> than conventional roasting</w:t>
      </w:r>
      <w:r>
        <w:t xml:space="preserve">. Additionally, the primary energy carrier </w:t>
      </w:r>
      <w:r w:rsidR="000D0DBA">
        <w:t xml:space="preserve">for microwave heating is </w:t>
      </w:r>
      <w:r>
        <w:t>electricity, which can be generated from renewable sources. Preliminary in</w:t>
      </w:r>
      <w:r w:rsidR="00EF378F">
        <w:t>vestigations (Hertel &amp; Cardenia</w:t>
      </w:r>
      <w:r>
        <w:t xml:space="preserve">, unpublished data) </w:t>
      </w:r>
      <w:r w:rsidR="000D0DBA">
        <w:t xml:space="preserve">undertaken as part of the MSC-ETN REDMUD project </w:t>
      </w:r>
      <w:r w:rsidR="000D0DBA">
        <w:fldChar w:fldCharType="begin" w:fldLock="1"/>
      </w:r>
      <w:r w:rsidR="000E418E">
        <w:instrText>ADDIN CSL_CITATION {"citationItems":[{"id":"ITEM-1","itemData":{"URL":"http://redmud.org/","accessed":{"date-parts":[["2015","4","27"]]},"author":[{"dropping-particle":"","family":"MSCA-ETN REDMUD","given":"","non-dropping-particle":"","parse-names":false,"suffix":""}],"id":"ITEM-1","issued":{"date-parts":[["2015"]]},"title":"Red Mud Project","type":"webpage"},"uris":["http://www.mendeley.com/documents/?uuid=965a749e-4177-4688-bce9-082cc08ff878"]}],"mendeley":{"formattedCitation":"(MSCA-ETN REDMUD, 2015)","plainTextFormattedCitation":"(MSCA-ETN REDMUD, 2015)","previouslyFormattedCitation":"(MSCA-ETN REDMUD, 2015)"},"properties":{"noteIndex":0},"schema":"https://github.com/citation-style-language/schema/raw/master/csl-citation.json"}</w:instrText>
      </w:r>
      <w:r w:rsidR="000D0DBA">
        <w:fldChar w:fldCharType="separate"/>
      </w:r>
      <w:r w:rsidR="000D0DBA" w:rsidRPr="000D0DBA">
        <w:rPr>
          <w:noProof/>
        </w:rPr>
        <w:t>(MSCA-ETN REDMUD, 2015)</w:t>
      </w:r>
      <w:r w:rsidR="000D0DBA">
        <w:fldChar w:fldCharType="end"/>
      </w:r>
      <w:r w:rsidR="000D0DBA">
        <w:t xml:space="preserve"> </w:t>
      </w:r>
      <w:r>
        <w:t>into the use of microwave roasting to increase the reactivity of BR</w:t>
      </w:r>
      <w:r w:rsidR="000D0DBA">
        <w:t xml:space="preserve"> for use in inorganic polymer applications</w:t>
      </w:r>
      <w:r>
        <w:t xml:space="preserve"> have yielded positive results.</w:t>
      </w:r>
    </w:p>
    <w:p w14:paraId="5D4ADB8E" w14:textId="56069655" w:rsidR="00F00DD8" w:rsidRDefault="00EB5CD3" w:rsidP="00894BFE">
      <w:r>
        <w:t>Although processing energy stand</w:t>
      </w:r>
      <w:r w:rsidR="00BA77A9">
        <w:t>s out as</w:t>
      </w:r>
      <w:r>
        <w:t xml:space="preserve"> the largest hotspot</w:t>
      </w:r>
      <w:r w:rsidR="00B5787B">
        <w:t>,</w:t>
      </w:r>
      <w:r>
        <w:t xml:space="preserve"> the </w:t>
      </w:r>
      <w:r w:rsidR="00BA77A9">
        <w:t xml:space="preserve">contribution of the </w:t>
      </w:r>
      <w:r>
        <w:t>activating solution</w:t>
      </w:r>
      <w:r w:rsidR="00BA77A9">
        <w:t xml:space="preserve"> is worthy of note. </w:t>
      </w:r>
      <w:r w:rsidR="00F00DD8">
        <w:t xml:space="preserve">Compared on a kg for kg basis, Na based activating solution has a lower impact than the K based solution in the majority of the impact categories considered. Based on the recommendations of previous </w:t>
      </w:r>
      <w:r w:rsidR="00F00DD8">
        <w:lastRenderedPageBreak/>
        <w:t xml:space="preserve">studies one would expect </w:t>
      </w:r>
      <w:r w:rsidR="00894BFE">
        <w:t>that using</w:t>
      </w:r>
      <w:r w:rsidR="00F00DD8">
        <w:t xml:space="preserve"> a </w:t>
      </w:r>
      <w:r w:rsidR="00C95139">
        <w:t xml:space="preserve">smaller </w:t>
      </w:r>
      <w:r w:rsidR="00F00DD8">
        <w:t>amount of a lower impact activating solution (</w:t>
      </w:r>
      <w:r w:rsidR="00C95139">
        <w:t xml:space="preserve">cf. </w:t>
      </w:r>
      <w:r w:rsidR="00F00DD8">
        <w:t xml:space="preserve">mix design 12-CS-K </w:t>
      </w:r>
      <w:r w:rsidR="00C95139">
        <w:t>and</w:t>
      </w:r>
      <w:r w:rsidR="00F00DD8">
        <w:t xml:space="preserve"> 12-CS-Na) would lead to a decrease in impact. However, as the impact of the precursor material is higher still in </w:t>
      </w:r>
      <w:r w:rsidR="00894BFE">
        <w:t xml:space="preserve">some </w:t>
      </w:r>
      <w:r w:rsidR="00F00DD8">
        <w:t xml:space="preserve">impact </w:t>
      </w:r>
      <w:proofErr w:type="gramStart"/>
      <w:r w:rsidR="00F00DD8">
        <w:t>categories, taking such steps actually has</w:t>
      </w:r>
      <w:proofErr w:type="gramEnd"/>
      <w:r w:rsidR="00F00DD8">
        <w:t xml:space="preserve"> the opposite effect in terms of global warming impact. Because the functional unit is based on a required volume of blocks, the increased proportion of precursor in the mix leads to this counterintuitive result.</w:t>
      </w:r>
    </w:p>
    <w:p w14:paraId="1BD5CA6D" w14:textId="07A59C89" w:rsidR="00F00DD8" w:rsidRDefault="00F00DD8" w:rsidP="00894BFE">
      <w:r>
        <w:t xml:space="preserve">This result should not be interpreted to mean that BR IPs based on K-silicate chemistry are a better option. When taken alongside steps to reduce the amount or the impact of activated precursor material, a shift to Na-based chemistry is a better </w:t>
      </w:r>
      <w:r w:rsidR="00782495">
        <w:t>long-term</w:t>
      </w:r>
      <w:r>
        <w:t xml:space="preserve"> option.</w:t>
      </w:r>
      <w:r w:rsidRPr="00534115">
        <w:t xml:space="preserve"> </w:t>
      </w:r>
      <w:r w:rsidR="00BA77A9">
        <w:t xml:space="preserve">One potential action, specific to BR, which could reduce the impact of the activating </w:t>
      </w:r>
      <w:r w:rsidR="00B5787B">
        <w:t>solution,</w:t>
      </w:r>
      <w:r w:rsidR="00BA77A9">
        <w:t xml:space="preserve"> is u</w:t>
      </w:r>
      <w:r>
        <w:t>tilising waste soda from the B</w:t>
      </w:r>
      <w:r w:rsidRPr="00534115">
        <w:t xml:space="preserve">ayer process (either the </w:t>
      </w:r>
      <w:r w:rsidR="00782495">
        <w:t>chemically bound</w:t>
      </w:r>
      <w:r w:rsidRPr="00534115">
        <w:t xml:space="preserve"> </w:t>
      </w:r>
      <w:r>
        <w:t>Na</w:t>
      </w:r>
      <w:r w:rsidRPr="00534115">
        <w:t xml:space="preserve"> in the BR or from the </w:t>
      </w:r>
      <w:r w:rsidR="00782495">
        <w:t xml:space="preserve">residual </w:t>
      </w:r>
      <w:r w:rsidRPr="00534115">
        <w:t>spent liquor</w:t>
      </w:r>
      <w:r w:rsidR="00782495">
        <w:t xml:space="preserve"> in the BR slurry</w:t>
      </w:r>
      <w:r>
        <w:t>)</w:t>
      </w:r>
      <w:r w:rsidR="00BA77A9">
        <w:t xml:space="preserve"> as a source of alkali for activation</w:t>
      </w:r>
      <w:r w:rsidRPr="00534115">
        <w:t>.</w:t>
      </w:r>
      <w:r>
        <w:t xml:space="preserve"> The </w:t>
      </w:r>
      <w:r w:rsidR="00894BFE">
        <w:t xml:space="preserve">addition of additional alkali (in the form of sodium silicate) to the Bayer liquor, or simply the evaporation of water in order to concentrate the liquor, may transform it into a solution which could </w:t>
      </w:r>
      <w:r>
        <w:t>be used as</w:t>
      </w:r>
      <w:r w:rsidR="00894BFE">
        <w:t xml:space="preserve"> an</w:t>
      </w:r>
      <w:r>
        <w:t xml:space="preserve"> alkaline activator for the treated BR.</w:t>
      </w:r>
    </w:p>
    <w:p w14:paraId="73C38A64" w14:textId="17445C4F" w:rsidR="00F00DD8" w:rsidRDefault="00F00DD8" w:rsidP="00894BFE">
      <w:r>
        <w:t xml:space="preserve">Ionising radiation exposure from NORM in the use phase of the paving blocks was shown to be substantially </w:t>
      </w:r>
      <w:r w:rsidR="003277F5">
        <w:t>higher</w:t>
      </w:r>
      <w:r>
        <w:t xml:space="preserve"> than that from releases of NORM to the environment</w:t>
      </w:r>
      <w:r w:rsidR="00EF378F">
        <w:t xml:space="preserve"> during production</w:t>
      </w:r>
      <w:r>
        <w:t>.</w:t>
      </w:r>
      <w:r w:rsidR="002A68CF">
        <w:t xml:space="preserve"> The scale of the difference is however far smaller than that seen for use phase NORM exposure from residential applications of BR in Goronovski et al</w:t>
      </w:r>
      <w:r w:rsidR="00EF378F">
        <w:t>.</w:t>
      </w:r>
      <w:r w:rsidR="002A68CF">
        <w:t xml:space="preserve"> </w:t>
      </w:r>
      <w:r w:rsidR="002A68CF">
        <w:fldChar w:fldCharType="begin" w:fldLock="1"/>
      </w:r>
      <w:r w:rsidR="000E418E">
        <w:instrText>ADDIN CSL_CITATION {"citationItems":[{"id":"ITEM-1","itemData":{"DOI":"10.1016/j.jclepro.2017.11.131","ISSN":"09596526","abstract":"The potential impact of ionising radiation from enhanced exposure to Naturally Occurring Radioactive Materials (NORM) to humans and the environment is not currently accounted for sufficiently in Life Cycle Assessment (LCA). Here we present midpoint and endpoint characterisation factors resulting from the implementation of impact assessment models for human health and ecosystems for NORM exposure. These models build upon existing fate, exposure and effect models from the LCA and radiological literature. The newly developed models are applied to a theoretical study of the utilisation of bauxite residue, a by-product of alumina processing enriched in natural radionuclides, in building materials. The ecosystem models have significant sensitivity to uncertainties surrounding the differential environmental fate of parent and daughter radionuclides that are produced as a part of decay chains, and to assumptions regarding long term releases from landfill sites. However, conservative results for environmental exposure suggest that in addition to landfill of materials, power consumption (burning coal and mining uranium) is a potentially significant source of radiological impact to the environment. From a human perspective, exposure to NORM in the use phase of building materials is the dominant source of impact, with environmental releases of nuclides playing a comparatively minor role. At an endpoint level, the impact of NORM exposure is highly significant in comparison to other impact categories in the area of protection of human health. The dose increase is of an order of magnitude comparable to lifestyle factors. The results highlight the importance within LCA of having sufficient impact assessment models to capture all potential impacts, such that issues of burden shifting between impact measures can be captured, interpreted and resolved in the optimisation of product systems.","author":[{"dropping-particle":"","family":"Goronovski","given":"Andrei","non-dropping-particle":"","parse-names":false,"suffix":""},{"dropping-particle":"","family":"Joyce","given":"P. James","non-dropping-particle":"","parse-names":false,"suffix":""},{"dropping-particle":"","family":"Björklund","given":"Anna","non-dropping-particle":"","parse-names":false,"suffix":""},{"dropping-particle":"","family":"Finnveden","given":"Göran","non-dropping-particle":"","parse-names":false,"suffix":""},{"dropping-particle":"","family":"Tkaczyk","given":"Alan H.","non-dropping-particle":"","parse-names":false,"suffix":""}],"container-title":"Journal of Cleaner Production","id":"ITEM-1","issued":{"date-parts":[["2018"]]},"page":"2824-2839","title":"Impact assessment of enhanced exposure from Naturally Occurring Radioactive Materials (NORM) within LCA","type":"article-journal","volume":"172"},"uris":["http://www.mendeley.com/documents/?uuid=df1ea08e-0529-4064-b3d0-43997d3c00bf"]}],"mendeley":{"formattedCitation":"(Goronovski et al., 2018)","plainTextFormattedCitation":"(Goronovski et al., 2018)","previouslyFormattedCitation":"(Goronovski et al., 2018)"},"properties":{"noteIndex":0},"schema":"https://github.com/citation-style-language/schema/raw/master/csl-citation.json"}</w:instrText>
      </w:r>
      <w:r w:rsidR="002A68CF">
        <w:fldChar w:fldCharType="separate"/>
      </w:r>
      <w:r w:rsidR="00810139" w:rsidRPr="00810139">
        <w:rPr>
          <w:noProof/>
        </w:rPr>
        <w:t>(Goronovski et al., 2018)</w:t>
      </w:r>
      <w:r w:rsidR="002A68CF">
        <w:fldChar w:fldCharType="end"/>
      </w:r>
      <w:r w:rsidR="002A68CF">
        <w:t xml:space="preserve">. The characterisation factors for residential exposure from </w:t>
      </w:r>
      <w:r w:rsidR="002A68CF" w:rsidRPr="002A68CF">
        <w:rPr>
          <w:vertAlign w:val="superscript"/>
        </w:rPr>
        <w:t>238</w:t>
      </w:r>
      <w:r w:rsidR="002A68CF">
        <w:t xml:space="preserve">U, </w:t>
      </w:r>
      <w:r w:rsidR="002A68CF" w:rsidRPr="002A68CF">
        <w:rPr>
          <w:vertAlign w:val="superscript"/>
        </w:rPr>
        <w:t>232</w:t>
      </w:r>
      <w:r w:rsidR="002A68CF">
        <w:t xml:space="preserve">Th and </w:t>
      </w:r>
      <w:r w:rsidR="002A68CF" w:rsidRPr="002A68CF">
        <w:rPr>
          <w:vertAlign w:val="superscript"/>
        </w:rPr>
        <w:t>40</w:t>
      </w:r>
      <w:r w:rsidR="002A68CF">
        <w:t>K calculated by Goronovski et al. are 707, 181 and 198 times higher respectively than those calculated here for exposure from paving.</w:t>
      </w:r>
      <w:r>
        <w:t xml:space="preserve"> This result suggests that the use of TENORM materials such as BR in building products should focus on non-residential use cases to further minimise the risks associated with enhanced NORM exposure.</w:t>
      </w:r>
    </w:p>
    <w:p w14:paraId="3AFEC001" w14:textId="451C57AC" w:rsidR="00BA77A9" w:rsidRDefault="00F00DD8" w:rsidP="00894BFE">
      <w:r>
        <w:t xml:space="preserve">At a product level, the impacts associated with the preparation of the precursor could be further reduced by simply using less precursor material in the preparation of the final paving blocks. Such reductions in the amount of activated precursor required could potentially be achieved via dilution, either with sands and aggregates as suggested in Weil et al. </w:t>
      </w:r>
      <w:r>
        <w:fldChar w:fldCharType="begin" w:fldLock="1"/>
      </w:r>
      <w:r w:rsidR="000E418E">
        <w:instrText>ADDIN CSL_CITATION {"citationItems":[{"id":"ITEM-1","itemData":{"DOI":"10.1533/9781845696382.2.194","author":[{"dropping-particle":"","family":"Weil","given":"M","non-dropping-particle":"","parse-names":false,"suffix":""},{"dropping-particle":"","family":"Dombrowski","given":"K","non-dropping-particle":"","parse-names":false,"suffix":""},{"dropping-particle":"","family":"Buchwald","given":"A","non-dropping-particle":"","parse-names":false,"suffix":""}],"chapter-number":"10","container-title":"Geopolymers: Structure, processing, properties and industrial applications","editor":[{"dropping-particle":"","family":"Provis","given":"J L","non-dropping-particle":"","parse-names":false,"suffix":""},{"dropping-particle":"","family":"Deventer","given":"J S J","non-dropping-particle":"Van","parse-names":false,"suffix":""}],"id":"ITEM-1","issued":{"date-parts":[["2009"]]},"page":"194-210","publisher":"Woodhead Publishing Limited","publisher-place":"Oxford","title":"Life-cycle analysis of geopolymers","type":"chapter"},"suppress-author":1,"uris":["http://www.mendeley.com/documents/?uuid=a160c83d-9779-4913-883f-d55474c4255c"]}],"mendeley":{"formattedCitation":"(2009)","plainTextFormattedCitation":"(2009)","previouslyFormattedCitation":"(2009)"},"properties":{"noteIndex":0},"schema":"https://github.com/citation-style-language/schema/raw/master/csl-citation.json"}</w:instrText>
      </w:r>
      <w:r>
        <w:fldChar w:fldCharType="separate"/>
      </w:r>
      <w:r w:rsidRPr="00534115">
        <w:rPr>
          <w:noProof/>
        </w:rPr>
        <w:t>(2009)</w:t>
      </w:r>
      <w:r>
        <w:fldChar w:fldCharType="end"/>
      </w:r>
      <w:r>
        <w:t xml:space="preserve">, or with ‘raw’ </w:t>
      </w:r>
      <w:proofErr w:type="spellStart"/>
      <w:r>
        <w:t>unactivated</w:t>
      </w:r>
      <w:proofErr w:type="spellEnd"/>
      <w:r>
        <w:t xml:space="preserve"> BR. </w:t>
      </w:r>
      <w:r w:rsidR="00BA77A9">
        <w:t>Dilution of BR derived precursor with raw BR</w:t>
      </w:r>
      <w:r>
        <w:t xml:space="preserve"> maintains the benefits of a </w:t>
      </w:r>
      <w:r w:rsidR="00A56AFC">
        <w:t>high-volume</w:t>
      </w:r>
      <w:r>
        <w:t xml:space="preserve"> utilisation route for BR</w:t>
      </w:r>
      <w:r w:rsidR="00BA77A9">
        <w:t>, while also avoiding the need to extract and transport large quantities of aggregate</w:t>
      </w:r>
      <w:r>
        <w:t xml:space="preserve">. </w:t>
      </w:r>
    </w:p>
    <w:p w14:paraId="7A12626B" w14:textId="60CC5E8E" w:rsidR="00BA77A9" w:rsidRDefault="00BA77A9" w:rsidP="00894BFE">
      <w:r>
        <w:t>In addition to the hotspots identified in this study, both the p</w:t>
      </w:r>
      <w:r w:rsidRPr="00534115">
        <w:t xml:space="preserve">ressing and curing </w:t>
      </w:r>
      <w:r>
        <w:t>processes stand out in an opposite manner, as ‘</w:t>
      </w:r>
      <w:proofErr w:type="spellStart"/>
      <w:r>
        <w:t>coldspots</w:t>
      </w:r>
      <w:proofErr w:type="spellEnd"/>
      <w:r>
        <w:t xml:space="preserve">’, contributing </w:t>
      </w:r>
      <w:r w:rsidRPr="00534115">
        <w:t xml:space="preserve">very little </w:t>
      </w:r>
      <w:r>
        <w:t>to</w:t>
      </w:r>
      <w:r w:rsidRPr="00534115">
        <w:t xml:space="preserve"> any of the impacts </w:t>
      </w:r>
      <w:r>
        <w:t xml:space="preserve">measures. </w:t>
      </w:r>
      <w:r w:rsidR="00F00DD8">
        <w:t xml:space="preserve">The pressed, sodium activated sample in this study (12-CS-Na) had a </w:t>
      </w:r>
      <w:r w:rsidR="00A56AFC">
        <w:t>7-day</w:t>
      </w:r>
      <w:r w:rsidR="00F00DD8">
        <w:t xml:space="preserve"> compressive strength of </w:t>
      </w:r>
      <w:r w:rsidR="00F00DD8" w:rsidRPr="00534115">
        <w:t xml:space="preserve">149 </w:t>
      </w:r>
      <w:r w:rsidR="00F00DD8">
        <w:t>(</w:t>
      </w:r>
      <w:r w:rsidR="00F00DD8" w:rsidRPr="00534115">
        <w:t>± 19.0</w:t>
      </w:r>
      <w:r w:rsidR="00F00DD8">
        <w:t xml:space="preserve">) MPa. Standards for paving blocks vary worldwide, and by application, however requirements for compressive strength are, in most cases in the region of 45-50 MPa </w:t>
      </w:r>
      <w:r w:rsidR="00F00DD8">
        <w:fldChar w:fldCharType="begin" w:fldLock="1"/>
      </w:r>
      <w:r w:rsidR="000E418E">
        <w:instrText>ADDIN CSL_CITATION {"citationItems":[{"id":"ITEM-1","itemData":{"author":[{"dropping-particle":"","family":"Houben","given":"L. J. M.","non-dropping-particle":"","parse-names":false,"suffix":""},{"dropping-particle":"","family":"Kreeft","given":"S. G.","non-dropping-particle":"van der","parse-names":false,"suffix":""},{"dropping-particle":"","family":"Leewis","given":"M.","non-dropping-particle":"","parse-names":false,"suffix":""}],"container-title":"Second International Conference on Concrete Block Paving","id":"ITEM-1","issued":{"date-parts":[["1984"]]},"page":"2-14","publisher-place":"Delft","title":"Specifications and standards for concrete paving blocks - A world-wide survey based on an inquiry by the programme committee CBP","type":"paper-conference"},"uris":["http://www.mendeley.com/documents/?uuid=be828522-fce2-43d8-8e6c-0a231f2b6061"]}],"mendeley":{"formattedCitation":"(Houben et al., 1984)","plainTextFormattedCitation":"(Houben et al., 1984)","previouslyFormattedCitation":"(Houben et al., 1984)"},"properties":{"noteIndex":0},"schema":"https://github.com/citation-style-language/schema/raw/master/csl-citation.json"}</w:instrText>
      </w:r>
      <w:r w:rsidR="00F00DD8">
        <w:fldChar w:fldCharType="separate"/>
      </w:r>
      <w:r w:rsidR="00F00DD8" w:rsidRPr="00534115">
        <w:rPr>
          <w:noProof/>
        </w:rPr>
        <w:t>(Houben et al., 1984)</w:t>
      </w:r>
      <w:r w:rsidR="00F00DD8">
        <w:fldChar w:fldCharType="end"/>
      </w:r>
      <w:r w:rsidR="00F00DD8">
        <w:t xml:space="preserve">. For example, the </w:t>
      </w:r>
      <w:r w:rsidR="00F00DD8" w:rsidRPr="00534115">
        <w:t>BS 6717</w:t>
      </w:r>
      <w:r w:rsidR="00F00DD8">
        <w:t xml:space="preserve"> standard </w:t>
      </w:r>
      <w:r w:rsidR="00F00DD8">
        <w:fldChar w:fldCharType="begin" w:fldLock="1"/>
      </w:r>
      <w:r w:rsidR="000E418E">
        <w:instrText>ADDIN CSL_CITATION {"citationItems":[{"id":"ITEM-1","itemData":{"author":[{"dropping-particle":"","family":"British Standards Institution","given":"","non-dropping-particle":"","parse-names":false,"suffix":""}],"id":"ITEM-1","issued":{"date-parts":[["1993"]]},"title":"BS6717: Part 1: Precast concrete paving blocks, Part 1. Specification for paving blocks","type":"article"},"uris":["http://www.mendeley.com/documents/?uuid=f4cd72b1-c4ca-42cc-ab19-04fa87516573"]}],"mendeley":{"formattedCitation":"(British Standards Institution, 1993)","plainTextFormattedCitation":"(British Standards Institution, 1993)","previouslyFormattedCitation":"(British Standards Institution, 1993)"},"properties":{"noteIndex":0},"schema":"https://github.com/citation-style-language/schema/raw/master/csl-citation.json"}</w:instrText>
      </w:r>
      <w:r w:rsidR="00F00DD8">
        <w:fldChar w:fldCharType="separate"/>
      </w:r>
      <w:r w:rsidR="00F00DD8" w:rsidRPr="00534115">
        <w:rPr>
          <w:noProof/>
        </w:rPr>
        <w:t>(British Standards Institution, 1993)</w:t>
      </w:r>
      <w:r w:rsidR="00F00DD8">
        <w:fldChar w:fldCharType="end"/>
      </w:r>
      <w:r w:rsidR="00F00DD8">
        <w:t xml:space="preserve"> sets a minimum compressive strength of 49 MPa.  There is therefore a substantial amount of leeway in the 12</w:t>
      </w:r>
      <w:r w:rsidR="00F00DD8">
        <w:noBreakHyphen/>
        <w:t>CS</w:t>
      </w:r>
      <w:r w:rsidR="00F00DD8">
        <w:noBreakHyphen/>
        <w:t xml:space="preserve">Na mix design to add unreactive material and maintain sufficient compressive strength. Preliminary investigations have determined that pressed samples using a diluted precursor containing 70% ‘raw’ BR achieved </w:t>
      </w:r>
      <w:r w:rsidR="00894BFE">
        <w:t xml:space="preserve">a 7 day compressive strength </w:t>
      </w:r>
      <w:r w:rsidR="00F00DD8">
        <w:t>in excess of 50 MPa</w:t>
      </w:r>
      <w:r w:rsidR="00C95139">
        <w:t xml:space="preserve"> </w:t>
      </w:r>
      <w:r w:rsidR="00C95139">
        <w:fldChar w:fldCharType="begin" w:fldLock="1"/>
      </w:r>
      <w:r w:rsidR="000E418E">
        <w:instrText>ADDIN CSL_CITATION {"citationItems":[{"id":"ITEM-1","itemData":{"author":[{"dropping-particle":"","family":"Hertel","given":"Tobias","non-dropping-particle":"","parse-names":false,"suffix":""},{"dropping-particle":"","family":"Blanpain","given":"Bart","non-dropping-particle":"","parse-names":false,"suffix":""},{"dropping-particle":"","family":"Pontikes","given":"Yiannis","non-dropping-particle":"","parse-names":false,"suffix":""}],"container-title":"Proceedings of 35th International ICSOBA Conference, Hamburg, Germany, 2 – 5 October, 2017","id":"ITEM-1","issued":{"date-parts":[["2017"]]},"title":"High Temperature Processing Options for the Valorisation of Bauxite Residue towards New Materials","type":"paper-conference"},"uris":["http://www.mendeley.com/documents/?uuid=6e0331fc-33e7-4e45-b358-4913aab88b3c"]}],"mendeley":{"formattedCitation":"(Hertel et al., 2017)","plainTextFormattedCitation":"(Hertel et al., 2017)","previouslyFormattedCitation":"(Hertel et al., 2017)"},"properties":{"noteIndex":0},"schema":"https://github.com/citation-style-language/schema/raw/master/csl-citation.json"}</w:instrText>
      </w:r>
      <w:r w:rsidR="00C95139">
        <w:fldChar w:fldCharType="separate"/>
      </w:r>
      <w:r w:rsidR="00C95139" w:rsidRPr="00C95139">
        <w:rPr>
          <w:noProof/>
        </w:rPr>
        <w:t>(Hertel et al., 2017)</w:t>
      </w:r>
      <w:r w:rsidR="00C95139">
        <w:fldChar w:fldCharType="end"/>
      </w:r>
      <w:r w:rsidR="00F00DD8">
        <w:t xml:space="preserve">. </w:t>
      </w:r>
      <w:r>
        <w:t>I</w:t>
      </w:r>
      <w:r w:rsidR="00F00DD8" w:rsidRPr="00534115">
        <w:t xml:space="preserve">nnovative treatment of the blocks during casting to increase compressive strength of ‘sub-optimal’ mix designs is a potentially very valuable </w:t>
      </w:r>
      <w:r w:rsidR="00F00DD8">
        <w:t>avenue</w:t>
      </w:r>
      <w:r w:rsidR="00F00DD8" w:rsidRPr="00534115">
        <w:t xml:space="preserve"> to explore</w:t>
      </w:r>
      <w:r>
        <w:t>, which may allow high levels of dilution, milder precursor processing conditions, or a combination of the two to be utilised</w:t>
      </w:r>
      <w:r w:rsidR="00F00DD8" w:rsidRPr="00534115">
        <w:t xml:space="preserve">. </w:t>
      </w:r>
    </w:p>
    <w:p w14:paraId="1C1F6CE6" w14:textId="7E978C3C" w:rsidR="004C352E" w:rsidRDefault="004C352E" w:rsidP="00894BFE">
      <w:r>
        <w:t>One further consideration for the practical implementation of the production of BR IP paving blocks is the existence of a local market for the product. As evidenced in the sensitivity analysis, the impacts associated with transporting the finished product long distances (&gt;300</w:t>
      </w:r>
      <w:r w:rsidR="00A705AA">
        <w:t xml:space="preserve"> </w:t>
      </w:r>
      <w:r>
        <w:t>km) to market have the potential to temper the potential environmental benefits achieved, particularly with regard to resource depletion.</w:t>
      </w:r>
    </w:p>
    <w:p w14:paraId="10B6AD51" w14:textId="77777777" w:rsidR="00687D79" w:rsidRDefault="00687D79" w:rsidP="00894BFE"/>
    <w:p w14:paraId="4BE91FBA" w14:textId="77777777" w:rsidR="00F00DD8" w:rsidRDefault="00F00DD8" w:rsidP="00FB4C21">
      <w:pPr>
        <w:pStyle w:val="Heading1"/>
      </w:pPr>
      <w:r>
        <w:lastRenderedPageBreak/>
        <w:t>Conclusions</w:t>
      </w:r>
    </w:p>
    <w:p w14:paraId="7D5795B6" w14:textId="629C2AD5" w:rsidR="00B8292B" w:rsidRDefault="00F00DD8" w:rsidP="00894BFE">
      <w:r>
        <w:t xml:space="preserve">Identifying potential hotspots of environmental impact at an early stage in the development of a new technology allows changes to be made in advance of ‘lock-in’ effects. </w:t>
      </w:r>
      <w:r w:rsidRPr="00732AAE">
        <w:rPr>
          <w:bCs/>
        </w:rPr>
        <w:t>By using an anticipatory LCA approach it is evident that for the industrial scale production of novel high BR content inorganic polymer paving blocks, the procedures required to increase the reactivity of BR to function as an alkali activated precursor stand out as the major hotspot of environmental impact.</w:t>
      </w:r>
      <w:r>
        <w:t xml:space="preserve"> By conducting this analysis at an early stage in design</w:t>
      </w:r>
      <w:r w:rsidR="00651237">
        <w:t>,</w:t>
      </w:r>
      <w:r>
        <w:t xml:space="preserve"> measures to reduce this impact can be tested for their technical feasibility at </w:t>
      </w:r>
      <w:r w:rsidR="00A168D6">
        <w:t>laboratory scale</w:t>
      </w:r>
      <w:r>
        <w:t>. These measures include microwave roasting of the precursor material and dilution with aggregates or BR. These new designs can, and should, be reassessed from a life cycle perspective</w:t>
      </w:r>
      <w:r w:rsidR="00BA77A9">
        <w:t>, and compared to the baseline established in this study,</w:t>
      </w:r>
      <w:r>
        <w:t xml:space="preserve"> in order to provide more options for the future development and enhance the iterative optimisation of this emerging technology. Following such a route has the potential to lead to the development of novel building materials which simultaneously deal with the pressing need for the treatment of bauxite residue while providing a </w:t>
      </w:r>
      <w:r w:rsidR="004124EC">
        <w:t>lower environmental impact</w:t>
      </w:r>
      <w:r>
        <w:t xml:space="preserve"> alternative to current materials.</w:t>
      </w:r>
      <w:r w:rsidR="00B8292B" w:rsidRPr="00B8292B">
        <w:t xml:space="preserve"> </w:t>
      </w:r>
    </w:p>
    <w:p w14:paraId="49730673" w14:textId="1691997B" w:rsidR="00894BFE" w:rsidRDefault="00B8292B" w:rsidP="00894BFE">
      <w:r w:rsidRPr="00B8292B">
        <w:t>In addition to the environmental credentials,</w:t>
      </w:r>
      <w:r w:rsidR="00BE0EF0" w:rsidRPr="00BE0EF0">
        <w:t xml:space="preserve"> </w:t>
      </w:r>
      <w:r w:rsidR="00BE0EF0">
        <w:t>it has been suggested that hotspots analysis can be a useful tool has the assessment of</w:t>
      </w:r>
      <w:r w:rsidR="00BE0EF0" w:rsidRPr="00BE0EF0">
        <w:rPr>
          <w:sz w:val="22"/>
          <w:szCs w:val="22"/>
        </w:rPr>
        <w:t xml:space="preserve"> </w:t>
      </w:r>
      <w:r w:rsidR="00BE0EF0">
        <w:rPr>
          <w:sz w:val="22"/>
          <w:szCs w:val="22"/>
        </w:rPr>
        <w:t xml:space="preserve">economic, ethical and social impacts </w:t>
      </w:r>
      <w:r w:rsidR="00BE0EF0">
        <w:rPr>
          <w:sz w:val="22"/>
          <w:szCs w:val="22"/>
        </w:rPr>
        <w:fldChar w:fldCharType="begin" w:fldLock="1"/>
      </w:r>
      <w:r w:rsidR="000E418E">
        <w:rPr>
          <w:sz w:val="22"/>
          <w:szCs w:val="22"/>
        </w:rPr>
        <w:instrText>ADDIN CSL_CITATION {"citationItems":[{"id":"ITEM-1","itemData":{"author":[{"dropping-particle":"","family":"UNEP-SETAC","given":"","non-dropping-particle":"","parse-names":false,"suffix":""}],"container-title":"UNEP/SETAC Life Cycle Initiative - Flagship Project 3a (Phase 1)","id":"ITEM-1","issue":"December","issued":{"date-parts":[["2014"]]},"title":"Hotspots Analysis: mapping of existing methodologies, tools and guidance and initial recommendations for the development of global guidance","type":"article-journal","volume":"2014"},"uris":["http://www.mendeley.com/documents/?uuid=ce568bc3-371e-411d-929b-4f9721399418"]}],"mendeley":{"formattedCitation":"(UNEP-SETAC, 2014)","plainTextFormattedCitation":"(UNEP-SETAC, 2014)","previouslyFormattedCitation":"(UNEP-SETAC, 2014)"},"properties":{"noteIndex":0},"schema":"https://github.com/citation-style-language/schema/raw/master/csl-citation.json"}</w:instrText>
      </w:r>
      <w:r w:rsidR="00BE0EF0">
        <w:rPr>
          <w:sz w:val="22"/>
          <w:szCs w:val="22"/>
        </w:rPr>
        <w:fldChar w:fldCharType="separate"/>
      </w:r>
      <w:r w:rsidR="00BE0EF0" w:rsidRPr="00BE0EF0">
        <w:rPr>
          <w:noProof/>
          <w:sz w:val="22"/>
          <w:szCs w:val="22"/>
        </w:rPr>
        <w:t>(UNEP-SETAC, 2014)</w:t>
      </w:r>
      <w:r w:rsidR="00BE0EF0">
        <w:rPr>
          <w:sz w:val="22"/>
          <w:szCs w:val="22"/>
        </w:rPr>
        <w:fldChar w:fldCharType="end"/>
      </w:r>
      <w:r w:rsidR="00BE0EF0">
        <w:rPr>
          <w:sz w:val="22"/>
          <w:szCs w:val="22"/>
        </w:rPr>
        <w:t>.</w:t>
      </w:r>
      <w:r w:rsidR="00BE0EF0">
        <w:t xml:space="preserve"> T</w:t>
      </w:r>
      <w:r w:rsidRPr="00B8292B">
        <w:t xml:space="preserve">he </w:t>
      </w:r>
      <w:r w:rsidR="00BA77A9">
        <w:t xml:space="preserve">practical </w:t>
      </w:r>
      <w:r w:rsidRPr="00B8292B">
        <w:t xml:space="preserve">implementation of a high-volume reuse pathway for BR </w:t>
      </w:r>
      <w:r w:rsidR="00BE0EF0">
        <w:t xml:space="preserve">will </w:t>
      </w:r>
      <w:r w:rsidRPr="00B8292B">
        <w:t xml:space="preserve">depend on </w:t>
      </w:r>
      <w:r w:rsidR="00BE0EF0">
        <w:t>each of these aspects in addition to environmental and technical aspects discussed here</w:t>
      </w:r>
      <w:r w:rsidRPr="00B8292B">
        <w:t xml:space="preserve">. LCA can </w:t>
      </w:r>
      <w:r w:rsidR="00BE0EF0">
        <w:t xml:space="preserve">however </w:t>
      </w:r>
      <w:r w:rsidRPr="00B8292B">
        <w:t xml:space="preserve">be used alongside other forms of prospective analysis to help optimise developing technologies along multiple axes simultaneously. </w:t>
      </w:r>
      <w:proofErr w:type="spellStart"/>
      <w:r w:rsidRPr="00B8292B">
        <w:t>Azapagic</w:t>
      </w:r>
      <w:proofErr w:type="spellEnd"/>
      <w:r w:rsidRPr="00B8292B">
        <w:t xml:space="preserve"> </w:t>
      </w:r>
      <w:r w:rsidR="00BE0EF0">
        <w:fldChar w:fldCharType="begin" w:fldLock="1"/>
      </w:r>
      <w:r w:rsidR="000E418E">
        <w:instrText>ADDIN CSL_CITATION {"citationItems":[{"id":"ITEM-1","itemData":{"DOI":"10.1016/S0959-6526(98)00051-1","ISSN":"09596526","abstract":"Life cycle assessment (LCA) is a method to identify and quantify the environmental performance of a process or a product from \"cradle to grave\". Its main potential in environmental decision-making lies in providing a quantitative basis for assessing potential improvements in environmental performance of a system throughout the life cycle. This paper introduces the use of multiobjective system optimisation in LCA as a tool for identifying and evaluating the best possible options for environmental management of the product system. A life cycle of a system is optimised on a number of environmental objective functions, defined in terms of the usual LCA burden or impact categories, and a range of environmental optima is found on the Pareto or non-inferior surface. As a result, possibilities for improving the environmental performance of the system are identified. Since system improvements cannot be carried out on the basis of environmental LCA only, it is also shown in this paper that the compromise between environmental and economic performance can be found on the non-inferior surface. The value of multi objective optimisation in system analysis lies in providing a set of alternative options for system improvements rather than a single prescriptive solution, thus enabling the choice of the Best Practicable Environmental Option (BPEO) and Best Available Technique Not Entailing Excessive Cost (BATNEEC). This approach is illustrated by application to a real case study of a system producing five borate products. © 1999 Elsevier Science Ltd. All rights reserved.","author":[{"dropping-particle":"","family":"Azapagic","given":"A.","non-dropping-particle":"","parse-names":false,"suffix":""},{"dropping-particle":"","family":"Clift","given":"R.","non-dropping-particle":"","parse-names":false,"suffix":""}],"container-title":"Journal of Cleaner Production","id":"ITEM-1","issue":"2","issued":{"date-parts":[["1999"]]},"page":"135-143","title":"Life cycle assessment and multiobjective optimisation","type":"article-journal","volume":"7"},"suppress-author":1,"uris":["http://www.mendeley.com/documents/?uuid=317a2856-64dc-475a-9e04-f60398198f19"]}],"mendeley":{"formattedCitation":"(1999)","plainTextFormattedCitation":"(1999)","previouslyFormattedCitation":"(1999)"},"properties":{"noteIndex":0},"schema":"https://github.com/citation-style-language/schema/raw/master/csl-citation.json"}</w:instrText>
      </w:r>
      <w:r w:rsidR="00BE0EF0">
        <w:fldChar w:fldCharType="separate"/>
      </w:r>
      <w:r w:rsidR="00BE0EF0" w:rsidRPr="00BE0EF0">
        <w:rPr>
          <w:noProof/>
        </w:rPr>
        <w:t>(1999)</w:t>
      </w:r>
      <w:r w:rsidR="00BE0EF0">
        <w:fldChar w:fldCharType="end"/>
      </w:r>
      <w:r w:rsidRPr="00B8292B">
        <w:t xml:space="preserve"> introduced the concept of Life Cycle Process Development (LCPD) – an optimisation process combining LCA data and economic considerations to produce Multiple Optimisation (MO) models for processes. Life cycle costing (LCC) has been identified as an important complement to LCA </w:t>
      </w:r>
      <w:r w:rsidR="00BE0EF0">
        <w:fldChar w:fldCharType="begin" w:fldLock="1"/>
      </w:r>
      <w:r w:rsidR="000E418E">
        <w:instrText>ADDIN CSL_CITATION {"citationItems":[{"id":"ITEM-1","itemData":{"DOI":"10.1016/j.resconrec.2014.08.011","ISBN":"0921-3449","ISSN":"18790658","abstract":"This paper deals with the application of Life Cycle Assessment (LCA) methodology for process design, and presents the initial findings of this analysis qualitatively. The work identifies a need for a methodological development of Life Cycle Process Design (LCPD). This is underpinned by a broad literature review. The literature review shows that the application of LCA as an environmental design instrument is recognized in literature. In contrast to that there is hardly any hint which role Life Cycle Costing (LCC) could play within environmental process design. Most interesting in this line is, how LCA and LCC can be combined for environmental process design to be finally the core instruments of LCPD. The applicability of LCA and LCC within LCPD is shown on the example of a novel biorefinery process under development. Both instruments (LCA and LCC) are already applied during basic process development in this work, parallel to laboratory research. The aim is to identify potential environmental threats at an early stage of process design and also to give a hint on economic feasibility. Additionally a trade-off between environmental and economic issues can be drawn out. On the basis of this analysis the role of LCA during process development is highlighted as well as difficulties and challenges are emphasized. One of the major obstacles is data availability for LCA as well as LCC in the basic design stage of a biotechnological process. The findings of this paper serve as basis for the methodological development of LCPD. It is emphasized that conducting LCA and LCC during basic process development can reveal some relevant action areas for process engineers, which may influence technical as well as economic feasibility. The results presented have to be understood as a first outlook and provide key aspects for future research on the topic of accompanying basic process research projects with LCA and LCC to support future sustainable process design.","author":[{"dropping-particle":"","family":"Fazeni","given":"Karin","non-dropping-particle":"","parse-names":false,"suffix":""},{"dropping-particle":"","family":"Lindorfer","given":"Johannes","non-dropping-particle":"","parse-names":false,"suffix":""},{"dropping-particle":"","family":"Prammer","given":"Heinz","non-dropping-particle":"","parse-names":false,"suffix":""}],"container-title":"Resources, Conservation and Recycling","id":"ITEM-1","issued":{"date-parts":[["2014"]]},"page":"66-77","publisher":"Elsevier B.V.","title":"Methodological advancements in Life Cycle Process Design: A preliminary outlook","type":"article-journal","volume":"92"},"uris":["http://www.mendeley.com/documents/?uuid=64e81692-c81d-4fdb-b217-90ee2faa7d44"]}],"mendeley":{"formattedCitation":"(Fazeni et al., 2014)","plainTextFormattedCitation":"(Fazeni et al., 2014)","previouslyFormattedCitation":"(Fazeni et al., 2014)"},"properties":{"noteIndex":0},"schema":"https://github.com/citation-style-language/schema/raw/master/csl-citation.json"}</w:instrText>
      </w:r>
      <w:r w:rsidR="00BE0EF0">
        <w:fldChar w:fldCharType="separate"/>
      </w:r>
      <w:r w:rsidR="00BE0EF0" w:rsidRPr="00BE0EF0">
        <w:rPr>
          <w:noProof/>
        </w:rPr>
        <w:t>(Fazeni et al., 2014)</w:t>
      </w:r>
      <w:r w:rsidR="00BE0EF0">
        <w:fldChar w:fldCharType="end"/>
      </w:r>
      <w:r w:rsidRPr="00B8292B">
        <w:t xml:space="preserve"> in moving towards LCPD. Such an assessment, taking into account the avoided costs associated with the treatment and future remediation of BR disposal areas alongside the present costs and revenues associated with inorganic polymer production, may serve to additionally explore the economic feasibility of these high BR paving blocks. This type of analysis likely to become increasingly important as the remaining capacity for </w:t>
      </w:r>
      <w:r w:rsidR="00BA77A9" w:rsidRPr="00B8292B">
        <w:t>on-site</w:t>
      </w:r>
      <w:r w:rsidRPr="00B8292B">
        <w:t xml:space="preserve"> disposal of BR becomes critical in the coming years.</w:t>
      </w:r>
    </w:p>
    <w:p w14:paraId="7DA8ADA9" w14:textId="77777777" w:rsidR="00F00DD8" w:rsidRDefault="00F00DD8" w:rsidP="00FB4C21">
      <w:pPr>
        <w:pStyle w:val="Heading1"/>
        <w:numPr>
          <w:ilvl w:val="0"/>
          <w:numId w:val="0"/>
        </w:numPr>
      </w:pPr>
      <w:r>
        <w:t>Acknowledgements</w:t>
      </w:r>
    </w:p>
    <w:p w14:paraId="4B1B2CD2" w14:textId="276F7D5C" w:rsidR="00F00DD8" w:rsidRPr="000F124E" w:rsidRDefault="00F00DD8" w:rsidP="00894BFE">
      <w:r>
        <w:t>The authors would like to thank Dr Karel van Acker of KU Leuven</w:t>
      </w:r>
      <w:r w:rsidR="00381D49">
        <w:t xml:space="preserve"> for helpful discussions</w:t>
      </w:r>
      <w:r>
        <w:t xml:space="preserve">. </w:t>
      </w:r>
      <w:r w:rsidRPr="000F124E">
        <w:t>The research leading to these results has received funding from the European Community’s Horizon 2020 Programme ([H2020/2014–2019]) under Grant Agreement no. 636876 (MSCA-ETN REDMUD). This publication reflects only the author</w:t>
      </w:r>
      <w:r>
        <w:t>s</w:t>
      </w:r>
      <w:r w:rsidRPr="000F124E">
        <w:t>’ view, exempting the Community from any liability. Project</w:t>
      </w:r>
      <w:r>
        <w:t> </w:t>
      </w:r>
      <w:r w:rsidRPr="000F124E">
        <w:t>website: </w:t>
      </w:r>
      <w:hyperlink r:id="rId16" w:history="1">
        <w:r w:rsidRPr="000F124E">
          <w:rPr>
            <w:rStyle w:val="Hyperlink"/>
            <w:rFonts w:cs="Arial"/>
          </w:rPr>
          <w:t>http://www.etn.redmud.org</w:t>
        </w:r>
      </w:hyperlink>
    </w:p>
    <w:p w14:paraId="6C935ADD" w14:textId="0E5A41C8" w:rsidR="00F00DD8" w:rsidRDefault="00F00DD8" w:rsidP="00FB4C21">
      <w:pPr>
        <w:pStyle w:val="Heading1"/>
        <w:numPr>
          <w:ilvl w:val="0"/>
          <w:numId w:val="0"/>
        </w:numPr>
      </w:pPr>
      <w:r>
        <w:t>References</w:t>
      </w:r>
    </w:p>
    <w:p w14:paraId="78AC0132" w14:textId="6427FAD2" w:rsidR="002B1423" w:rsidRPr="002B1423" w:rsidRDefault="00F00DD8" w:rsidP="002B1423">
      <w:pPr>
        <w:widowControl w:val="0"/>
        <w:autoSpaceDE w:val="0"/>
        <w:autoSpaceDN w:val="0"/>
        <w:adjustRightInd w:val="0"/>
        <w:spacing w:line="240" w:lineRule="auto"/>
        <w:ind w:left="480" w:hanging="480"/>
        <w:rPr>
          <w:noProof/>
          <w:szCs w:val="24"/>
        </w:rPr>
      </w:pPr>
      <w:r>
        <w:fldChar w:fldCharType="begin" w:fldLock="1"/>
      </w:r>
      <w:r>
        <w:instrText xml:space="preserve">ADDIN Mendeley Bibliography CSL_BIBLIOGRAPHY </w:instrText>
      </w:r>
      <w:r>
        <w:fldChar w:fldCharType="separate"/>
      </w:r>
      <w:r w:rsidR="002B1423" w:rsidRPr="002B1423">
        <w:rPr>
          <w:noProof/>
          <w:szCs w:val="24"/>
        </w:rPr>
        <w:t>Aluminium Leader, 2015. How the aluminium market works [WWW Document]. URL http://www.aluminiumleader.com/economics/how_aluminium_market_works/ (accessed 5.29.17).</w:t>
      </w:r>
    </w:p>
    <w:p w14:paraId="79B6E0D5"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Azapagic, A., Clift, R., 1999. Life cycle assessment and multiobjective optimisation. J. Clean. Prod. 7, 135–143. doi:10.1016/S0959-6526(98)00051-1</w:t>
      </w:r>
    </w:p>
    <w:p w14:paraId="77DC4D60"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Barthel, M., Fava, J.A., Harnanan, C.A., Strothmann, P., Khan, S., Miller, S., 2015. Hotspots Analysis: Providing the Focus for Action, in: Sonnemann, G., Margni, M. (Eds.), Life Cycle Management. LCA Compendium – The Complete World of Life Cycle Assessment. Springer, Dordrecht, pp. 149–167. doi:10.1007/978-94-017-7221-1_12</w:t>
      </w:r>
    </w:p>
    <w:p w14:paraId="599161C5"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Bjørn, A., Strandesen, M., 2011. The Cradle to Cradle concept - is it always sustainable? Life Cycle Manag. Conf. Towar. Life Cycle Sustain. Manag.</w:t>
      </w:r>
    </w:p>
    <w:p w14:paraId="3960B32F"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 xml:space="preserve">Borra, C.R., Blanpain, B., Pontikes, Y., Binnemans, K., Van Gerven, T., 2016. Recovery of Rare Earths and Other </w:t>
      </w:r>
      <w:r w:rsidRPr="002B1423">
        <w:rPr>
          <w:noProof/>
          <w:szCs w:val="24"/>
        </w:rPr>
        <w:lastRenderedPageBreak/>
        <w:t>Valuable Metals From Bauxite Residue (Red Mud): A Review. J. Sustain. Metall. 2, 365–386. doi:10.1007/s40831-016-0068-2</w:t>
      </w:r>
    </w:p>
    <w:p w14:paraId="4DC6EC23"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BRE Global, 2016. BREEAM International New Construction 2016 Technical Manual.</w:t>
      </w:r>
    </w:p>
    <w:p w14:paraId="635DE14A"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Brentner, L.B., Eckelman, M.J., Zimmerman, J.B., 2011. Combinatorial life cycle assessment to inform process design of industrial production of algal biodiesel. Environ. Sci. Technol. 45, 7060–7067. doi:10.1021/es2006995</w:t>
      </w:r>
    </w:p>
    <w:p w14:paraId="2398C746"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British Standards Institution, 1993. BS6717: Part 1: Precast concrete paving blocks, Part 1. Specification for paving blocks.</w:t>
      </w:r>
    </w:p>
    <w:p w14:paraId="372197C8"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Buchwald, A., Dombrowski, K., Weil, M., 2005. Evaluation of Primary and Secondary Materials under Technical, Ecological and Economic Aspects for the Use as Raw Materials in Geo-Polymeric Binders. 2nd Int. Symp. Non-Traditional Cem. Concr. 32–40.</w:t>
      </w:r>
    </w:p>
    <w:p w14:paraId="1EC894D9"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Bureau of Indian Standards, 2006. BIS:15658: Indian Standard for Precast Concrete Blocks For Paving.</w:t>
      </w:r>
    </w:p>
    <w:p w14:paraId="1002FD5C"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Concrete Manufacturers Association, 2004. Concrete Block Paving: Book 2 – Design Aspects.</w:t>
      </w:r>
    </w:p>
    <w:p w14:paraId="5DBE728F"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Davidovits, J., 1991. Geopolymers. J. Therm. Anal. 37, 1633–1656. doi:10.1007/BF01912193</w:t>
      </w:r>
    </w:p>
    <w:p w14:paraId="6E3DC45E"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De Man, R., Friege, H., 2016. Circular economy: European policy on shaky ground. Waste Manag. Res. 34, 93–95. doi:10.1177/0734242X15626015</w:t>
      </w:r>
    </w:p>
    <w:p w14:paraId="52A343FB"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Dimas, D.D., Giannopoulou, I.P., Panias, D., 2009. Utilization of Alumina Red Mud for Synthesis of Inorganic Polymeric Materials. Miner. Process. Extr. Metall. Rev. 30, 211–239. doi:10.1080/08827500802498199</w:t>
      </w:r>
    </w:p>
    <w:p w14:paraId="5C73DB5C"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Duxson, P., Fernández-Jiménez, A., Provis, J.L., Lukey, G.C., Palomo, A., Van Deventer, J.S.J., 2007a. Geopolymer technology: The current state of the art. J. Mater. Sci. 42, 2917–2933. doi:10.1007/s10853-006-0637-z</w:t>
      </w:r>
    </w:p>
    <w:p w14:paraId="63B336D4"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Duxson, P., Provis, J.L., Lukey, G.C., van Deventer, J.S.J., 2007b. The role of inorganic polymer technology in the development of “green concrete.” Cem. Concr. Res. 37, 1590–1597. doi:10.1016/j.cemconres.2007.08.018</w:t>
      </w:r>
    </w:p>
    <w:p w14:paraId="6D4B5E1F"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Ecoinvent Centre, 2016. ecoinvent 3.3 [WWW Document]. URL http://www.ecoinvent.org/database/ecoinvent-33/ecoinvent-33.html (accessed 3.28.17).</w:t>
      </w:r>
    </w:p>
    <w:p w14:paraId="7F66B5CE"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European Commission, 2015. Closing the loop - An EU action plan for the Circular Economy.</w:t>
      </w:r>
    </w:p>
    <w:p w14:paraId="2259AB48"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European Commission, 2008. Directive 2008/98/EC of the European Parliament and of the Council of 19 November 2008 on waste and repealing certain directives. Off. J. Eur. Union L13, 3–30. doi:2008/98/EC.; 32008L0098</w:t>
      </w:r>
    </w:p>
    <w:p w14:paraId="650C9DFB"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European Commission, 2000. Regulation (EC) No 2037/2000 of the European Parliament and the Council of 29 June 2000 on substances that deplete the ozone layer. Off. J. Eur. Communities 4, L244/1-24.</w:t>
      </w:r>
    </w:p>
    <w:p w14:paraId="30158232"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EUROSTAT, 2017a. Population change – Demographic balance and crude rates at national level [WWW Document]. URL http://ec.europa.eu/eurostat/en/web/products-datasets/-/T2020_RD110 (accessed 11.9.17).</w:t>
      </w:r>
    </w:p>
    <w:p w14:paraId="4430941A"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EUROSTAT, 2017b. Built-up areas [WWW Document]. URL http://ec.europa.eu/eurostat/en/web/products-datasets/-/T2020_RD110 (accessed 11.9.17).</w:t>
      </w:r>
    </w:p>
    <w:p w14:paraId="16AE7E6B"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EUROSTAT, 2016. Land cover, land use and landscape [WWW Document]. URL http://ec.europa.eu/eurostat/statistics-explained/index.php/Land_cover,_land_use_and_landscape (accessed 11.9.17).</w:t>
      </w:r>
    </w:p>
    <w:p w14:paraId="3F348199"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Evans, K., 2016. The History, Challenges, and New Developments in the Management and Use of Bauxite Residue. J. Sustain. Metall. 2, 316–331. doi:10.1007/s40831-016-0060-x</w:t>
      </w:r>
    </w:p>
    <w:p w14:paraId="5C5CA34C"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lastRenderedPageBreak/>
        <w:t>Fazeni, K., Lindorfer, J., Prammer, H., 2014. Methodological advancements in Life Cycle Process Design: A preliminary outlook. Resour. Conserv. Recycl. 92, 66–77. doi:10.1016/j.resconrec.2014.08.011</w:t>
      </w:r>
    </w:p>
    <w:p w14:paraId="68F176D8"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Frischknecht, R., Braunschweig, A., 2000. Human health damages due to ionising radiation in life cycle impact assessment. Environ. Impact Assess. Rev. 20, 159–189.</w:t>
      </w:r>
    </w:p>
    <w:p w14:paraId="12692D50"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Gasafi, E., Meyer, L., Schebek, L., 2003. Using Life-Cycle Assessment in Process Design. Supercritical Water Gasification of Organic Feedstocks. J. Ind. Ecol. 7, 75–91. doi:10.1162/108819803323059415</w:t>
      </w:r>
    </w:p>
    <w:p w14:paraId="67FC1EAA"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Geng, J., Zhou, M., Zhang, T., Wang, W., Wang, T., Zhou, X., Wang, X., Hou, H., Red, P.Á., Coal, Á., 2017. Preparation of blended geopolymer from red mud and coal gangue with mechanical co-grinding preactivation. Mater. Struct. 50, 1–11. doi:10.1617/s11527-016-0967-5</w:t>
      </w:r>
    </w:p>
    <w:p w14:paraId="4E316056"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Gerber, L., Gassner, M., Maréchal, F., 2011. Systematic integration of LCA in process systems design: Application to combined fuel and electricity production from lignocellulosic biomass. Comput. Chem. Eng. 35, 1265–1280. doi:10.1016/j.compchemeng.2010.11.012</w:t>
      </w:r>
    </w:p>
    <w:p w14:paraId="57499164"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Giannopoulou, I., Dimas, D., Maragkos, I., Panias, D., 2009. Utilization of Metallurgical Solid By-Products for the Development of Inorganic Polymeric Construction Materials. Glob. Nest J. 11, 127–136.</w:t>
      </w:r>
    </w:p>
    <w:p w14:paraId="3C5B947A"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Goronovski, A., Joyce, P.J., Björklund, A., Finnveden, G., Tkaczyk, A.H., 2018. Impact assessment of enhanced exposure from Naturally Occurring Radioactive Materials (NORM) within LCA. J. Clean. Prod. 172, 2824–2839. doi:10.1016/j.jclepro.2017.11.131</w:t>
      </w:r>
    </w:p>
    <w:p w14:paraId="205BDC6C"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Guo, M., Littlewood, J., Joyce, J., Murphy, R., 2014. The environmental profile of bioethanol produced from current and potential future Poplar feedstocks in the EU. Green Chem. 4680–4695. doi:10.1039/c4gc01124d</w:t>
      </w:r>
    </w:p>
    <w:p w14:paraId="7F23D560"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Habert, G., Espinose, J.B., Lacaillerie, D., Roussel, N., 2011. An environmental evaluation of geopolymer based concrete production : reviewing current research trends. J. Clean. Prod. 19, 1229–1238. doi:10.1016/j.jclepro.2011.03.012</w:t>
      </w:r>
    </w:p>
    <w:p w14:paraId="1CBDC248"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Habert, G., Ouellet-Plamondon, C., 2016. Recent update on the environmental impact of geopolymers. RILEM Tech. Lett. 1, 17–23. doi:10.21809/rilemtechlett.2016.6</w:t>
      </w:r>
    </w:p>
    <w:p w14:paraId="36D3081E"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Hairi, S.N.M., Jameson, G.N.L., Rogers, J.J., MacKenzie, K.J.D., 2015. Synthesis and properties of inorganic polymers (geopolymers) derived from Bayer process residue (red mud) and bauxite. J. Mater. Sci. 50, 7713–7724. doi:10.1007/s10853-015-9338-9</w:t>
      </w:r>
    </w:p>
    <w:p w14:paraId="58EB3712"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Hajjaji, W., Andrejkovičová, S., Zanelli, C., Alshaaer, M., Dondi, M., Labrincha, J.A., Rocha, F., 2013. Composition and technological properties of geopolymers based on metakaolin and red mud. Mater. Des. 52, 648–654. doi:10.1016/j.matdes.2013.05.058</w:t>
      </w:r>
    </w:p>
    <w:p w14:paraId="52AC9504"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Hauschild, M.Z., Goedkoop, M., Guinée, J., Heijungs, R., Huijbregts, M., Jolliet, O., Margni, M., De Schryver, A., Humbert, S., Laurent, A., Sala, S., Pant, R., 2013. Identifying best existing practice for characterization modeling in life cycle impact assessment. Int. J. Life Cycle Assess. 18, 683–697. doi:10.1007/s11367-012-0489-5</w:t>
      </w:r>
    </w:p>
    <w:p w14:paraId="41DD8E5F"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He, J., Jie, Y., Zhang, J., Yu, Y., Zhang, G., 2013. Synthesis and characterization of red mud and rice husk ash-based geopolymer composites. Cem. Concr. Compos. 37, 108–118. doi:10.1016/j.cemconcomp.2012.11.010</w:t>
      </w:r>
    </w:p>
    <w:p w14:paraId="6BABBD22"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Hellweg, S., Milà i Canals, L., 2014. Emerging approaches, challenges and opportunities in life cycle assessment. Science (80-. ). 344, 1109–1113. doi:10.1126/science.1248361</w:t>
      </w:r>
    </w:p>
    <w:p w14:paraId="3683AD66"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Hertel, T., Blanpain, B., Pontikes, Y., 2017. High Temperature Processing Options for the Valorisation of Bauxite Residue towards New Materials, in: Proceedings of 35th International ICSOBA Conference, Hamburg, Germany, 2 – 5 October, 2017.</w:t>
      </w:r>
    </w:p>
    <w:p w14:paraId="749FF90B"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 xml:space="preserve">Hertel, T., Blanpain, B., Pontikes, Y., 2016. A Proposal for a 100 % Use of Bauxite Residue Towards Inorganic </w:t>
      </w:r>
      <w:r w:rsidRPr="002B1423">
        <w:rPr>
          <w:noProof/>
          <w:szCs w:val="24"/>
        </w:rPr>
        <w:lastRenderedPageBreak/>
        <w:t>Polymer Mortar. J. Sustain. Metall. 2, 394–404. doi:10.1007/s40831-016-0080-6</w:t>
      </w:r>
    </w:p>
    <w:p w14:paraId="382216C7"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Houben, L.J.M., van der Kreeft, S.G., Leewis, M., 1984. Specifications and standards for concrete paving blocks - A world-wide survey based on an inquiry by the programme committee CBP, in: Second International Conference on Concrete Block Paving. Delft, pp. 2–14.</w:t>
      </w:r>
    </w:p>
    <w:p w14:paraId="0ED0ACD5"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Interpave, 2012. Guide to the properties, design, construction, reinstatement and maintenance of concrete blocks pavements Edition 2.</w:t>
      </w:r>
    </w:p>
    <w:p w14:paraId="7683275D"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Joyce, P.J., 2017. Lcopt - An interactive tool for creating fully parameterised Life Cycle Assessment (LCA) foreground models. J. Open Source Softw. 2. doi:10.21105/joss.00339</w:t>
      </w:r>
    </w:p>
    <w:p w14:paraId="208A1FA3"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Joyce, P.J., Goronovski, A., Tkaczyk, A.H., Björklund, A., 2017. A framework for including enhanced exposure to naturally occurring radioactive materials (NORM) in LCA. Int. J. Life Cycle Assess. 22, 1078–1095. doi:10.1007/s11367-016-1218-2</w:t>
      </w:r>
    </w:p>
    <w:p w14:paraId="6DEC65A3"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Kalinkin, A.M., Kumar, S., Gurevich, B.I., Alex, T.C., Kalinkina, E.V., Tyukavkina, V.V., Kalinnikov, V.T., Kumar, R., 2012. Geopolymerization behavior of Cu–Ni slag mechanically activated in air and in CO2 atmosphere. Int. J. Miner. Process. 112–113, 101–106. doi:10.1016/j.minpro.2012.05.001</w:t>
      </w:r>
    </w:p>
    <w:p w14:paraId="21040B9D"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Kaya, K., Soyer-Uzun, S., 2015. Evolution of structural characteristics and compressive strength in red mud-metakaolin based geopolymer systems. Ceram. Int. 42, 7406–7413. doi:10.1016/j.ceramint.2016.01.144</w:t>
      </w:r>
    </w:p>
    <w:p w14:paraId="333E4101"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Klauber, C., Gräfe, M., Power, G., 2011. Bauxite residue issues: II. options for residue utilization. Hydrometallurgy 108, 11–32. doi:10.1016/j.hydromet.2011.02.007</w:t>
      </w:r>
    </w:p>
    <w:p w14:paraId="76509B53"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Komnitsas, K., Zaharaki, D., Perdikatsis, V., 2007. Geopolymerisation of low calcium ferronickel slags. J. Mater. Sci. 42, 3073–3082. doi:10.1007/s10853-006-0529-2</w:t>
      </w:r>
    </w:p>
    <w:p w14:paraId="0D63C8CD"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Kumar, A., Kumar, S., 2013. Development of paving blocks from synergistic use of red mud and fly ash using geopolymerization. Constr. Build. Mater. 38, 865–871. doi:10.1016/j.conbuildmat.2012.09.013</w:t>
      </w:r>
    </w:p>
    <w:p w14:paraId="481B0783"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Labrincha, J.A., Marques, J.I., Hajjaji, W., Senff, L., Zanelli, C., Dondi, M., Rocha, F., 2014. Novel inorganic products based on industrial wastes. Waste and Biomass Valorization 5, 385–392. doi:10.1007/s12649-013-9281-4</w:t>
      </w:r>
    </w:p>
    <w:p w14:paraId="4FFBF86B"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Landsberger, S., Sharp, A., Wang, S., Pontikes, Y., Tkaczyk, A.H., 2017. Characterization of bauxite residue (red mud) for 235U, 238U, 232Th and 40K using neutron activation analysis and the radiation dose levels as modeled by MCNP. J. Environ. Radioact. 173, 97–101. doi:10.1016/j.jenvrad.2016.12.008</w:t>
      </w:r>
    </w:p>
    <w:p w14:paraId="1075F3D2"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Lloyd, R.R., Provis, J.L., Deventer, J.S.J., 2012. Acid resistance of inorganic polymer binders. 1. Corrosion rate. Mater. Struct. 45, 1–14. doi:10.1617/s11527-011-9744-7</w:t>
      </w:r>
    </w:p>
    <w:p w14:paraId="181775B1"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Markkanen, M., 1995. Radiation Dose Assessments for Materials with Elevated Natural Radioactivity, Nuclear Safety.</w:t>
      </w:r>
    </w:p>
    <w:p w14:paraId="570AB5D5"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McLellan, B.C., Williams, R.P., Lay, J., Van Riessen, A., Corder, G.D., 2011. Costs and carbon emissions for geopolymer pastes in comparison to ordinary portland cement. J. Clean. Prod. 19, 1080–1090. doi:10.1016/j.jclepro.2011.02.010</w:t>
      </w:r>
    </w:p>
    <w:p w14:paraId="50EE7E80"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Mellado, A., Catalán, C., Bouzón, N., Borrachero, M. V., Monzó, J.M., Payá, J., 2014. Carbon footprint of geopolymeric mortar: study of the contribution of the alkaline activating solution and assessment of an alternative route. RSC Adv. 4, 23846. doi:10.1039/c4ra03375b</w:t>
      </w:r>
    </w:p>
    <w:p w14:paraId="6877D156"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MSCA-ETN REDMUD, 2015. Red Mud Project [WWW Document]. URL http://redmud.org/ (accessed 4.27.15).</w:t>
      </w:r>
    </w:p>
    <w:p w14:paraId="57A6AC1A"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Mucsi, G., Lakatos, J., Molnár, Z., Szabó, R., 2014. Development of geopolymer using industrial waste materials. 9th Int. Conf. “ENVIRONMENTAL Eng. 1–8. doi:10.3846/enviro.2014.039</w:t>
      </w:r>
    </w:p>
    <w:p w14:paraId="302555CF"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 xml:space="preserve">Mutel, C., 2017. Brightway: An open source framework for Life Cycle Assessment. J. Open Source Softw. 2. </w:t>
      </w:r>
      <w:r w:rsidRPr="002B1423">
        <w:rPr>
          <w:noProof/>
          <w:szCs w:val="24"/>
        </w:rPr>
        <w:lastRenderedPageBreak/>
        <w:t>doi:10.21105/joss.00236</w:t>
      </w:r>
    </w:p>
    <w:p w14:paraId="2359C369"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Onisei, S., Lesage, K., Blanpain, B., Pontikes, Y., 2015. Early Age Microstructural Transformations of an Inorganic Polymer Made of Fayalite Slag. J. Am. Ceram. Soc. 98, 2269–2277. doi:10.1111/jace.13548</w:t>
      </w:r>
    </w:p>
    <w:p w14:paraId="45AA6B7C"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Onisei, S., Pontikes, Y., Van Gerven, T., Angelopoulos, G.N., Velea, T., Predica, V., Moldovan, P., 2012. Synthesis of inorganic polymers using fly ash and primary lead slag. J. Hazard. Mater. 205–206, 101–110. doi:10.1016/j.jhazmat.2011.12.039</w:t>
      </w:r>
    </w:p>
    <w:p w14:paraId="35EA53CE"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Peys, A., Arnout, L., Blanpain, B., Rahier, H., van Acker, K., Pontikes, Y., 2017. Mix-design Parameters and Real-life Considerations in the Pursuit of Lower Environmental Impact Inorganic Polymers. Waste and Biomass Valorization 0, 0. doi:10.1007/s12649-017-9877-1</w:t>
      </w:r>
    </w:p>
    <w:p w14:paraId="799DE4EB"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Pontikes, Y., Angelopoulos, G.N., 2013. Bauxite residue in cement and cementitious applications: Current status and a possible way forward. Resour. Conserv. Recycl. 73, 53–63. doi:10.1016/j.resconrec.2013.01.005</w:t>
      </w:r>
    </w:p>
    <w:p w14:paraId="3963F878"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Provis, J.L., 2016. Alkali-activated materials. Cem. Concr. Res. doi:10.1016/j.cemconres.2017.02.009</w:t>
      </w:r>
    </w:p>
    <w:p w14:paraId="4B3FD90D"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Provis, J.L., Palomo, A., Shi, C., 2015. Advances in understanding alkali-activated materials. Cem. Concr. Res. 78, 110–125. doi:10.1016/j.cemconres.2015.04.013</w:t>
      </w:r>
    </w:p>
    <w:p w14:paraId="6B76B02C"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Rada, G., Smith, D.R., Miller, J., Witczak, M., 1990. Structural Design of Concrete Block Pavements. J. Transp. Eng. 116, 615–635. doi:10.1061/(ASCE)0733-947X(1990)116:5(615)</w:t>
      </w:r>
    </w:p>
    <w:p w14:paraId="435169C4"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RECOVER, 2017. RECOVER: Techology [WWW Document]. URL https://recover.technology/technology/ (accessed 11.10.17).</w:t>
      </w:r>
    </w:p>
    <w:p w14:paraId="25535FB1"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Sakkas, K., Nomikos, P., Sofianos, A., Panias, D., 2014. Utilisation of FeNi-Slag for the production of inorganic polymeric materials for construction or for passive fire protection. Waste and Biomass Valorization 5, 403–410. doi:10.1007/s12649-013-9278-z</w:t>
      </w:r>
    </w:p>
    <w:p w14:paraId="0A8ADAD4"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Samouhos, M., Taxiarchou, M., Tsakiridis, P.E., Potiriadis, K., 2013. Greek “red mud” residue: A study of microwave reductive roasting followed by magnetic separation for a metallic iron recovery process. J. Hazard. Mater. 254–255, 193–205. doi:10.1016/j.jhazmat.2013.03.059</w:t>
      </w:r>
    </w:p>
    <w:p w14:paraId="0BF99C1C"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Sharma, P., Batra, R.K., Scholar, P.G., Engg, C., Engg, C., 2016. Cement Concrete Paver Blocks for Rural Roads.</w:t>
      </w:r>
    </w:p>
    <w:p w14:paraId="01E68E48"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Singh, M., Upadhayay, S.N., Prasad, P.M., 1996. Preparation of special cements from red mud. Waste Manag. 16, 665–670. doi:10.1016/S0956-053X(97)00004-4</w:t>
      </w:r>
    </w:p>
    <w:p w14:paraId="04ED04CD"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Thomas, M.D.A., 2007. Optimizing the Use of Fly Ash in Concrete. Portl. Cem. Assoc. 24.</w:t>
      </w:r>
    </w:p>
    <w:p w14:paraId="13DDD923"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Turner, L.K., Collins, F.G., 2013. Carbon dioxide equivalent (CO2-e) emissions: A comparison between geopolymer and OPC cement concrete. Constr. Build. Mater. 43, 125–130. doi:10.1016/j.conbuildmat.2013.01.023</w:t>
      </w:r>
    </w:p>
    <w:p w14:paraId="40DFC1B7"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Ullman, D.G., 1997. The mechanical design process, 2. ed.. ed, McGraw-Hill series in mechanical engineering. McGraw-Hill, New York.</w:t>
      </w:r>
    </w:p>
    <w:p w14:paraId="63176FED"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UNEP-SETAC, 2014. Hotspots Analysis: mapping of existing methodologies, tools and guidance and initial recommendations for the development of global guidance. UNEP/SETAC Life Cycle Initiat. - Flagsh. Proj. 3a (Phase 1) 2014.</w:t>
      </w:r>
    </w:p>
    <w:p w14:paraId="152DB4B0"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USGBC, 2017. LEED v4 for Building Design and Construction.</w:t>
      </w:r>
    </w:p>
    <w:p w14:paraId="15797265"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van der Voet, E., van Oers, L., Huele, R., 2014. Topical paper 10. Assessment of historical resource efficiency improvements in the aluminium industry.</w:t>
      </w:r>
    </w:p>
    <w:p w14:paraId="6F2657D8"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 xml:space="preserve">Van Deventer, J.S.J., Provis, J.L., Duxson, P., Brice, D.G., 2010. Chemical research and climate change as drivers in the commercial adoption of alkali activated materials. Waste and Biomass Valorization 1, 145–155. </w:t>
      </w:r>
      <w:r w:rsidRPr="002B1423">
        <w:rPr>
          <w:noProof/>
          <w:szCs w:val="24"/>
        </w:rPr>
        <w:lastRenderedPageBreak/>
        <w:t>doi:10.1007/s12649-010-9015-9</w:t>
      </w:r>
    </w:p>
    <w:p w14:paraId="2D04DA6D"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Vukčević, M., Turović, D., Krgović, M., Bošković, I., Ivanović, M., Zejak, R., 2013. Utilization of geopolymerization for obtaining construction materials based on red mud. Mater. Tehnol. 47, 99–104.</w:t>
      </w:r>
    </w:p>
    <w:p w14:paraId="2E3C6316"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Weil, M., Dombrowski, K., Buchwald, A., 2009. Life-cycle analysis of geopolymers, in: Provis, J.L., Van Deventer, J.S.J. (Eds.), Geopolymers: Structure, Processing, Properties and Industrial Applications. Woodhead Publishing Limited, Oxford, pp. 194–210. doi:10.1533/9781845696382.2.194</w:t>
      </w:r>
    </w:p>
    <w:p w14:paraId="5DB21483"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Wender, B.A., Foley, R.W., Hottle, T.A., Sadowski, J., Prado-López, V., Eisenberg, D.A., Laurin, L., Seager, T.P., 2014. Anticipatory life-cycle assessment for responsible research and innovation. J. Responsible Innov. 1, 200–207. doi:10.1017/CBO9781107415324.004</w:t>
      </w:r>
    </w:p>
    <w:p w14:paraId="13C9D769"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Wernet, G., Bauer, C., Steubing, B., Reinhard, J., Moreno-Ruiz, E., Weidema, B., 2016. The ecoinvent database version 3 (part I): overview and methodology. Int. J. Life Cycle Assess. 21, 1218–1230. doi:10.1007/s11367-016-1087-8</w:t>
      </w:r>
    </w:p>
    <w:p w14:paraId="41598740"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Wittstock, B., Gantner, J., Lenz, K., Saunders, T., Anderson, J., Carter, C., Gyetvai, Z., Kreißig, J., Braune, A., Lasvaux, S., Bosdevigie, B., Bazzana, M., Schiopu, N., Jayr, E., Nibel, S., Chevalier, J., Hans, J., Fullana-i-Palmer, P., Gazulla, C., Mundy, J.-A., Barrow-Williams, T., Sjöström, C., 2011. EeBGuide Guidance Document 297.</w:t>
      </w:r>
    </w:p>
    <w:p w14:paraId="22A66D41"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Yagmurlu, B., Dittrich, C., Friedrich, B., 2017. Precipitation Trends of Scandium in Synthetic Red Mud Solutions with Different Precipitation Agents. J. Sustain. Metall. 3, 90–98. doi:10.1007/s40831-016-0098-9</w:t>
      </w:r>
    </w:p>
    <w:p w14:paraId="65BA29A2"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Ye, N., Yang, J., Ke, X., Zhu, J., Li, Y., Xiang, C., Wang, H., Li, L., Xiao, B., 2014. Synthesis and characterization of geopolymer from bayer red mud with thermal pretreatment. J. Am. Ceram. Soc. 97, 1652–1660. doi:10.1111/jace.12840</w:t>
      </w:r>
    </w:p>
    <w:p w14:paraId="31DC0F95"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Ye, N., Zhu, J., Liu, J., Li, Y., Ke, X., Yang, J., 2012. Influence of Thermal Treatment on Phase Transformation and Dissolubility of Aluminosilicate Phase in Red Mud. MRS Proc. 1488, imrc12–1488–7b–055. doi:10.1557/opl.2012.1546</w:t>
      </w:r>
    </w:p>
    <w:p w14:paraId="624E97E6" w14:textId="77777777" w:rsidR="002B1423" w:rsidRPr="002B1423" w:rsidRDefault="002B1423" w:rsidP="002B1423">
      <w:pPr>
        <w:widowControl w:val="0"/>
        <w:autoSpaceDE w:val="0"/>
        <w:autoSpaceDN w:val="0"/>
        <w:adjustRightInd w:val="0"/>
        <w:spacing w:line="240" w:lineRule="auto"/>
        <w:ind w:left="480" w:hanging="480"/>
        <w:rPr>
          <w:noProof/>
          <w:szCs w:val="24"/>
        </w:rPr>
      </w:pPr>
      <w:r w:rsidRPr="002B1423">
        <w:rPr>
          <w:noProof/>
          <w:szCs w:val="24"/>
        </w:rPr>
        <w:t>Zaharaki, D., Galetakis, M., Komnitsas, K., 2016. Valorization of construction and demolition (C&amp;D) and industrial wastes through alkali activation. Constr. Build. Mater. 121, 686–693. doi:10.1016/j.conbuildmat.2016.06.051</w:t>
      </w:r>
    </w:p>
    <w:p w14:paraId="7C264B69" w14:textId="77777777" w:rsidR="002B1423" w:rsidRPr="002B1423" w:rsidRDefault="002B1423" w:rsidP="002B1423">
      <w:pPr>
        <w:widowControl w:val="0"/>
        <w:autoSpaceDE w:val="0"/>
        <w:autoSpaceDN w:val="0"/>
        <w:adjustRightInd w:val="0"/>
        <w:spacing w:line="240" w:lineRule="auto"/>
        <w:ind w:left="480" w:hanging="480"/>
        <w:rPr>
          <w:noProof/>
        </w:rPr>
      </w:pPr>
      <w:r w:rsidRPr="002B1423">
        <w:rPr>
          <w:noProof/>
          <w:szCs w:val="24"/>
        </w:rPr>
        <w:t>Zhang, G., He, J., Gambrell, R., 2010. Synthesis, Characterization, and Mechanical Properties of Red Mud-Based Geopolymers. Transp. Res. Rec. J. Transp. Res. Board 2167, 1–9. doi:10.3141/2167-01</w:t>
      </w:r>
    </w:p>
    <w:p w14:paraId="5D87C1F9" w14:textId="761C657A" w:rsidR="00F00DD8" w:rsidRPr="00704D52" w:rsidRDefault="00F00DD8" w:rsidP="002B1423">
      <w:pPr>
        <w:widowControl w:val="0"/>
        <w:autoSpaceDE w:val="0"/>
        <w:autoSpaceDN w:val="0"/>
        <w:adjustRightInd w:val="0"/>
        <w:spacing w:line="240" w:lineRule="auto"/>
        <w:ind w:left="480" w:hanging="480"/>
      </w:pPr>
      <w:r>
        <w:fldChar w:fldCharType="end"/>
      </w:r>
    </w:p>
    <w:sectPr w:rsidR="00F00DD8" w:rsidRPr="00704D52" w:rsidSect="00DB4EC8">
      <w:foot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EEE04" w14:textId="77777777" w:rsidR="008C4B21" w:rsidRDefault="008C4B21" w:rsidP="009E200E">
      <w:pPr>
        <w:spacing w:after="0" w:line="240" w:lineRule="auto"/>
      </w:pPr>
      <w:r>
        <w:separator/>
      </w:r>
    </w:p>
  </w:endnote>
  <w:endnote w:type="continuationSeparator" w:id="0">
    <w:p w14:paraId="4B5BCEE0" w14:textId="77777777" w:rsidR="008C4B21" w:rsidRDefault="008C4B21" w:rsidP="009E200E">
      <w:pPr>
        <w:spacing w:after="0" w:line="240" w:lineRule="auto"/>
      </w:pPr>
      <w:r>
        <w:continuationSeparator/>
      </w:r>
    </w:p>
  </w:endnote>
  <w:endnote w:type="continuationNotice" w:id="1">
    <w:p w14:paraId="01D979D9" w14:textId="77777777" w:rsidR="008C4B21" w:rsidRDefault="008C4B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BD7E1" w14:textId="197D150D" w:rsidR="00942F0C" w:rsidRDefault="00942F0C">
    <w:pPr>
      <w:pStyle w:val="Footer"/>
      <w:jc w:val="right"/>
    </w:pPr>
    <w:r>
      <w:fldChar w:fldCharType="begin"/>
    </w:r>
    <w:r>
      <w:instrText xml:space="preserve"> PAGE   \* MERGEFORMAT </w:instrText>
    </w:r>
    <w:r>
      <w:fldChar w:fldCharType="separate"/>
    </w:r>
    <w:r w:rsidR="002B1423">
      <w:rPr>
        <w:noProof/>
      </w:rPr>
      <w:t>10</w:t>
    </w:r>
    <w:r>
      <w:fldChar w:fldCharType="end"/>
    </w:r>
  </w:p>
  <w:p w14:paraId="04459E58" w14:textId="77777777" w:rsidR="00942F0C" w:rsidRDefault="00942F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222A9" w14:textId="77777777" w:rsidR="008C4B21" w:rsidRDefault="008C4B21" w:rsidP="009E200E">
      <w:pPr>
        <w:spacing w:after="0" w:line="240" w:lineRule="auto"/>
      </w:pPr>
      <w:r>
        <w:separator/>
      </w:r>
    </w:p>
  </w:footnote>
  <w:footnote w:type="continuationSeparator" w:id="0">
    <w:p w14:paraId="71759306" w14:textId="77777777" w:rsidR="008C4B21" w:rsidRDefault="008C4B21" w:rsidP="009E200E">
      <w:pPr>
        <w:spacing w:after="0" w:line="240" w:lineRule="auto"/>
      </w:pPr>
      <w:r>
        <w:continuationSeparator/>
      </w:r>
    </w:p>
  </w:footnote>
  <w:footnote w:type="continuationNotice" w:id="1">
    <w:p w14:paraId="0AAE4D9F" w14:textId="77777777" w:rsidR="008C4B21" w:rsidRDefault="008C4B21">
      <w:pPr>
        <w:spacing w:after="0" w:line="240" w:lineRule="auto"/>
      </w:pPr>
    </w:p>
  </w:footnote>
  <w:footnote w:id="2">
    <w:p w14:paraId="47E19458" w14:textId="5F4401AF" w:rsidR="00942F0C" w:rsidRDefault="00942F0C">
      <w:pPr>
        <w:pStyle w:val="FootnoteText"/>
      </w:pPr>
      <w:r>
        <w:rPr>
          <w:rStyle w:val="FootnoteReference"/>
        </w:rPr>
        <w:footnoteRef/>
      </w:r>
      <w:r>
        <w:t xml:space="preserve"> </w:t>
      </w:r>
      <w:r w:rsidRPr="00DA4149">
        <w:t>Building Research Establishment Environmental Assessment Method</w:t>
      </w:r>
    </w:p>
  </w:footnote>
  <w:footnote w:id="3">
    <w:p w14:paraId="59B91B98" w14:textId="2860E6B6" w:rsidR="00942F0C" w:rsidRDefault="00942F0C">
      <w:pPr>
        <w:pStyle w:val="FootnoteText"/>
      </w:pPr>
      <w:r>
        <w:rPr>
          <w:rStyle w:val="FootnoteReference"/>
        </w:rPr>
        <w:footnoteRef/>
      </w:r>
      <w:r>
        <w:t xml:space="preserve"> </w:t>
      </w:r>
      <w:r w:rsidRPr="00A56AFC">
        <w:t>Leadership in Energy and Environmental Design</w:t>
      </w:r>
    </w:p>
  </w:footnote>
  <w:footnote w:id="4">
    <w:p w14:paraId="29BC85F5" w14:textId="77777777" w:rsidR="00942F0C" w:rsidRDefault="00942F0C">
      <w:pPr>
        <w:pStyle w:val="FootnoteText"/>
      </w:pPr>
      <w:r w:rsidRPr="005D1727">
        <w:rPr>
          <w:rStyle w:val="FootnoteReference"/>
        </w:rPr>
        <w:footnoteRef/>
      </w:r>
      <w:r>
        <w:t xml:space="preserve"> The Waste Hierarchy: 1. Prevention, 2. Preparing for reuse, 3. Recycling, 4. Other recovery 5. Disposal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B7190"/>
    <w:multiLevelType w:val="hybridMultilevel"/>
    <w:tmpl w:val="E0187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E46C23"/>
    <w:multiLevelType w:val="hybridMultilevel"/>
    <w:tmpl w:val="99EA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29433D"/>
    <w:multiLevelType w:val="hybridMultilevel"/>
    <w:tmpl w:val="5DBA11B0"/>
    <w:lvl w:ilvl="0" w:tplc="041D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3F766222"/>
    <w:multiLevelType w:val="hybridMultilevel"/>
    <w:tmpl w:val="A16080FE"/>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925E83"/>
    <w:multiLevelType w:val="hybridMultilevel"/>
    <w:tmpl w:val="48181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710DE2"/>
    <w:multiLevelType w:val="multilevel"/>
    <w:tmpl w:val="47A8729A"/>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6">
    <w:nsid w:val="5EB62B33"/>
    <w:multiLevelType w:val="hybridMultilevel"/>
    <w:tmpl w:val="F7A62EB4"/>
    <w:lvl w:ilvl="0" w:tplc="08090001">
      <w:start w:val="1"/>
      <w:numFmt w:val="bullet"/>
      <w:lvlText w:val=""/>
      <w:lvlJc w:val="left"/>
      <w:pPr>
        <w:ind w:left="769" w:hanging="360"/>
      </w:pPr>
      <w:rPr>
        <w:rFonts w:ascii="Symbol" w:hAnsi="Symbol" w:hint="default"/>
      </w:rPr>
    </w:lvl>
    <w:lvl w:ilvl="1" w:tplc="08090003">
      <w:start w:val="1"/>
      <w:numFmt w:val="bullet"/>
      <w:lvlText w:val="o"/>
      <w:lvlJc w:val="left"/>
      <w:pPr>
        <w:ind w:left="1489" w:hanging="360"/>
      </w:pPr>
      <w:rPr>
        <w:rFonts w:ascii="Courier New" w:hAnsi="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hint="default"/>
      </w:rPr>
    </w:lvl>
    <w:lvl w:ilvl="8" w:tplc="08090005" w:tentative="1">
      <w:start w:val="1"/>
      <w:numFmt w:val="bullet"/>
      <w:lvlText w:val=""/>
      <w:lvlJc w:val="left"/>
      <w:pPr>
        <w:ind w:left="6529"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4"/>
  </w:num>
  <w:num w:numId="6">
    <w:abstractNumId w:val="0"/>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C21"/>
    <w:rsid w:val="00015634"/>
    <w:rsid w:val="0003241E"/>
    <w:rsid w:val="00034842"/>
    <w:rsid w:val="0004557B"/>
    <w:rsid w:val="00053FC0"/>
    <w:rsid w:val="000558A5"/>
    <w:rsid w:val="00055BF8"/>
    <w:rsid w:val="00063D31"/>
    <w:rsid w:val="000672D4"/>
    <w:rsid w:val="00076525"/>
    <w:rsid w:val="000973C4"/>
    <w:rsid w:val="000A7195"/>
    <w:rsid w:val="000B13BF"/>
    <w:rsid w:val="000B1819"/>
    <w:rsid w:val="000C5857"/>
    <w:rsid w:val="000C78AE"/>
    <w:rsid w:val="000D0DBA"/>
    <w:rsid w:val="000D1E96"/>
    <w:rsid w:val="000D2164"/>
    <w:rsid w:val="000E3F53"/>
    <w:rsid w:val="000E418E"/>
    <w:rsid w:val="000F06AE"/>
    <w:rsid w:val="000F124E"/>
    <w:rsid w:val="000F6C40"/>
    <w:rsid w:val="00103332"/>
    <w:rsid w:val="00104B91"/>
    <w:rsid w:val="001075AE"/>
    <w:rsid w:val="00110A14"/>
    <w:rsid w:val="00113FDC"/>
    <w:rsid w:val="00116F48"/>
    <w:rsid w:val="00123E66"/>
    <w:rsid w:val="00127205"/>
    <w:rsid w:val="00143ECF"/>
    <w:rsid w:val="00144A93"/>
    <w:rsid w:val="001461D3"/>
    <w:rsid w:val="00152B21"/>
    <w:rsid w:val="00153D39"/>
    <w:rsid w:val="00155B87"/>
    <w:rsid w:val="001620C3"/>
    <w:rsid w:val="001650DD"/>
    <w:rsid w:val="00170A98"/>
    <w:rsid w:val="00174B14"/>
    <w:rsid w:val="0017603B"/>
    <w:rsid w:val="0018055E"/>
    <w:rsid w:val="001823C7"/>
    <w:rsid w:val="00185616"/>
    <w:rsid w:val="0018605A"/>
    <w:rsid w:val="00187C23"/>
    <w:rsid w:val="001A39DF"/>
    <w:rsid w:val="001A7800"/>
    <w:rsid w:val="001B48B0"/>
    <w:rsid w:val="001B57F1"/>
    <w:rsid w:val="001B7398"/>
    <w:rsid w:val="001B7F7D"/>
    <w:rsid w:val="001C169F"/>
    <w:rsid w:val="001D39E6"/>
    <w:rsid w:val="001D7515"/>
    <w:rsid w:val="001E6318"/>
    <w:rsid w:val="001F01A9"/>
    <w:rsid w:val="001F0574"/>
    <w:rsid w:val="001F33DA"/>
    <w:rsid w:val="00204A18"/>
    <w:rsid w:val="00220069"/>
    <w:rsid w:val="00220659"/>
    <w:rsid w:val="00220951"/>
    <w:rsid w:val="0022356B"/>
    <w:rsid w:val="00223F21"/>
    <w:rsid w:val="00224A9B"/>
    <w:rsid w:val="00231FAD"/>
    <w:rsid w:val="00233210"/>
    <w:rsid w:val="002411BA"/>
    <w:rsid w:val="00243BE4"/>
    <w:rsid w:val="00245430"/>
    <w:rsid w:val="00246581"/>
    <w:rsid w:val="002500BE"/>
    <w:rsid w:val="002517DE"/>
    <w:rsid w:val="00252367"/>
    <w:rsid w:val="00254F80"/>
    <w:rsid w:val="00255142"/>
    <w:rsid w:val="00255475"/>
    <w:rsid w:val="002624DE"/>
    <w:rsid w:val="002634E2"/>
    <w:rsid w:val="002644E0"/>
    <w:rsid w:val="00265F50"/>
    <w:rsid w:val="00266E49"/>
    <w:rsid w:val="002749F6"/>
    <w:rsid w:val="002903E6"/>
    <w:rsid w:val="00293830"/>
    <w:rsid w:val="002A64B1"/>
    <w:rsid w:val="002A68CF"/>
    <w:rsid w:val="002B1423"/>
    <w:rsid w:val="002B1E87"/>
    <w:rsid w:val="002B51A3"/>
    <w:rsid w:val="002C2003"/>
    <w:rsid w:val="002C3FE3"/>
    <w:rsid w:val="002C5444"/>
    <w:rsid w:val="002D2F17"/>
    <w:rsid w:val="002D310F"/>
    <w:rsid w:val="002D333E"/>
    <w:rsid w:val="002E14C8"/>
    <w:rsid w:val="002E2EF9"/>
    <w:rsid w:val="002E344B"/>
    <w:rsid w:val="002F5023"/>
    <w:rsid w:val="002F512B"/>
    <w:rsid w:val="00315B98"/>
    <w:rsid w:val="00321D9E"/>
    <w:rsid w:val="00324126"/>
    <w:rsid w:val="003277F5"/>
    <w:rsid w:val="00332B1A"/>
    <w:rsid w:val="0033475F"/>
    <w:rsid w:val="00336DFA"/>
    <w:rsid w:val="0034731A"/>
    <w:rsid w:val="00352A89"/>
    <w:rsid w:val="00356C30"/>
    <w:rsid w:val="00374483"/>
    <w:rsid w:val="0038160A"/>
    <w:rsid w:val="00381D49"/>
    <w:rsid w:val="00383983"/>
    <w:rsid w:val="00383CDC"/>
    <w:rsid w:val="003865E5"/>
    <w:rsid w:val="003906A1"/>
    <w:rsid w:val="00391A63"/>
    <w:rsid w:val="0039338A"/>
    <w:rsid w:val="003A0E9B"/>
    <w:rsid w:val="003A20FD"/>
    <w:rsid w:val="003A3A7B"/>
    <w:rsid w:val="003B1070"/>
    <w:rsid w:val="003B7598"/>
    <w:rsid w:val="003B7D81"/>
    <w:rsid w:val="003C090B"/>
    <w:rsid w:val="003C6862"/>
    <w:rsid w:val="003D4C01"/>
    <w:rsid w:val="003F6E8F"/>
    <w:rsid w:val="00405BF9"/>
    <w:rsid w:val="004124EC"/>
    <w:rsid w:val="00425BBE"/>
    <w:rsid w:val="00441322"/>
    <w:rsid w:val="0045186F"/>
    <w:rsid w:val="00457D47"/>
    <w:rsid w:val="00462EE3"/>
    <w:rsid w:val="00472476"/>
    <w:rsid w:val="00481C75"/>
    <w:rsid w:val="00482103"/>
    <w:rsid w:val="00483FB1"/>
    <w:rsid w:val="00484CB3"/>
    <w:rsid w:val="004A2DF4"/>
    <w:rsid w:val="004A50AE"/>
    <w:rsid w:val="004B0C5A"/>
    <w:rsid w:val="004C352E"/>
    <w:rsid w:val="004D0FB7"/>
    <w:rsid w:val="004D5B41"/>
    <w:rsid w:val="004D7B94"/>
    <w:rsid w:val="004E0BA4"/>
    <w:rsid w:val="004E46A7"/>
    <w:rsid w:val="004E5E80"/>
    <w:rsid w:val="004F3FD4"/>
    <w:rsid w:val="00500D04"/>
    <w:rsid w:val="00511C95"/>
    <w:rsid w:val="00522CD2"/>
    <w:rsid w:val="00524186"/>
    <w:rsid w:val="00534115"/>
    <w:rsid w:val="00535C02"/>
    <w:rsid w:val="0053619C"/>
    <w:rsid w:val="00540941"/>
    <w:rsid w:val="0054355A"/>
    <w:rsid w:val="00544084"/>
    <w:rsid w:val="005471CA"/>
    <w:rsid w:val="0054764C"/>
    <w:rsid w:val="00566057"/>
    <w:rsid w:val="00572EA7"/>
    <w:rsid w:val="00575BC2"/>
    <w:rsid w:val="0057700A"/>
    <w:rsid w:val="00577CE6"/>
    <w:rsid w:val="0058152B"/>
    <w:rsid w:val="0058328C"/>
    <w:rsid w:val="00587F07"/>
    <w:rsid w:val="0059439E"/>
    <w:rsid w:val="005A300D"/>
    <w:rsid w:val="005A7468"/>
    <w:rsid w:val="005B556F"/>
    <w:rsid w:val="005B6362"/>
    <w:rsid w:val="005C4F48"/>
    <w:rsid w:val="005D1727"/>
    <w:rsid w:val="005D1BCC"/>
    <w:rsid w:val="005E4502"/>
    <w:rsid w:val="005F0719"/>
    <w:rsid w:val="005F541E"/>
    <w:rsid w:val="005F667B"/>
    <w:rsid w:val="00603285"/>
    <w:rsid w:val="006051F7"/>
    <w:rsid w:val="00605E6D"/>
    <w:rsid w:val="00615820"/>
    <w:rsid w:val="00616357"/>
    <w:rsid w:val="00616896"/>
    <w:rsid w:val="006258DC"/>
    <w:rsid w:val="006338CE"/>
    <w:rsid w:val="00633AA1"/>
    <w:rsid w:val="00635C6D"/>
    <w:rsid w:val="00641405"/>
    <w:rsid w:val="00642AA5"/>
    <w:rsid w:val="00644321"/>
    <w:rsid w:val="006449A6"/>
    <w:rsid w:val="006451E1"/>
    <w:rsid w:val="00651237"/>
    <w:rsid w:val="00651683"/>
    <w:rsid w:val="00651B16"/>
    <w:rsid w:val="00654E45"/>
    <w:rsid w:val="00656CA6"/>
    <w:rsid w:val="00662EEB"/>
    <w:rsid w:val="00664437"/>
    <w:rsid w:val="006644F3"/>
    <w:rsid w:val="0067099E"/>
    <w:rsid w:val="00677A59"/>
    <w:rsid w:val="006813E7"/>
    <w:rsid w:val="0068174D"/>
    <w:rsid w:val="006857B5"/>
    <w:rsid w:val="00687D79"/>
    <w:rsid w:val="006924F5"/>
    <w:rsid w:val="00692691"/>
    <w:rsid w:val="00694A19"/>
    <w:rsid w:val="00697D74"/>
    <w:rsid w:val="006C0954"/>
    <w:rsid w:val="006F0826"/>
    <w:rsid w:val="006F22C8"/>
    <w:rsid w:val="006F2CAF"/>
    <w:rsid w:val="006F4A26"/>
    <w:rsid w:val="006F5B1D"/>
    <w:rsid w:val="006F5E81"/>
    <w:rsid w:val="007014F5"/>
    <w:rsid w:val="00704D52"/>
    <w:rsid w:val="007072C8"/>
    <w:rsid w:val="00714939"/>
    <w:rsid w:val="00714B05"/>
    <w:rsid w:val="00732373"/>
    <w:rsid w:val="00732AAE"/>
    <w:rsid w:val="00734A1A"/>
    <w:rsid w:val="0074379E"/>
    <w:rsid w:val="00746B1C"/>
    <w:rsid w:val="00747E35"/>
    <w:rsid w:val="00754BE4"/>
    <w:rsid w:val="0075556E"/>
    <w:rsid w:val="00760CD3"/>
    <w:rsid w:val="00761202"/>
    <w:rsid w:val="00762370"/>
    <w:rsid w:val="00762602"/>
    <w:rsid w:val="00765B5C"/>
    <w:rsid w:val="00771A1F"/>
    <w:rsid w:val="007724E5"/>
    <w:rsid w:val="0077737D"/>
    <w:rsid w:val="007775E6"/>
    <w:rsid w:val="00781587"/>
    <w:rsid w:val="00782495"/>
    <w:rsid w:val="00790685"/>
    <w:rsid w:val="00791650"/>
    <w:rsid w:val="007921FB"/>
    <w:rsid w:val="007930BC"/>
    <w:rsid w:val="00795993"/>
    <w:rsid w:val="007A3CED"/>
    <w:rsid w:val="007A578A"/>
    <w:rsid w:val="007B40F7"/>
    <w:rsid w:val="007C25BF"/>
    <w:rsid w:val="007C2A05"/>
    <w:rsid w:val="007C584D"/>
    <w:rsid w:val="007C7632"/>
    <w:rsid w:val="007D1560"/>
    <w:rsid w:val="007D3432"/>
    <w:rsid w:val="007D5654"/>
    <w:rsid w:val="007E2EC5"/>
    <w:rsid w:val="007E4BF2"/>
    <w:rsid w:val="007E5844"/>
    <w:rsid w:val="007E677D"/>
    <w:rsid w:val="007F4C46"/>
    <w:rsid w:val="007F521D"/>
    <w:rsid w:val="007F758D"/>
    <w:rsid w:val="008038E6"/>
    <w:rsid w:val="00807758"/>
    <w:rsid w:val="00810139"/>
    <w:rsid w:val="00832409"/>
    <w:rsid w:val="00844384"/>
    <w:rsid w:val="0084663B"/>
    <w:rsid w:val="008551FB"/>
    <w:rsid w:val="00862701"/>
    <w:rsid w:val="00863499"/>
    <w:rsid w:val="00864DB1"/>
    <w:rsid w:val="008662C6"/>
    <w:rsid w:val="00894BFE"/>
    <w:rsid w:val="008A19F5"/>
    <w:rsid w:val="008A5F68"/>
    <w:rsid w:val="008A7A3B"/>
    <w:rsid w:val="008A7EAA"/>
    <w:rsid w:val="008C211B"/>
    <w:rsid w:val="008C47E7"/>
    <w:rsid w:val="008C4B21"/>
    <w:rsid w:val="008D09A1"/>
    <w:rsid w:val="008D6B88"/>
    <w:rsid w:val="008D6BA4"/>
    <w:rsid w:val="008D7F8A"/>
    <w:rsid w:val="008E478F"/>
    <w:rsid w:val="008E579E"/>
    <w:rsid w:val="008F6C9F"/>
    <w:rsid w:val="00911723"/>
    <w:rsid w:val="00913840"/>
    <w:rsid w:val="0091692D"/>
    <w:rsid w:val="009365F9"/>
    <w:rsid w:val="00941F4B"/>
    <w:rsid w:val="00942D64"/>
    <w:rsid w:val="00942F0C"/>
    <w:rsid w:val="00943D90"/>
    <w:rsid w:val="009444B9"/>
    <w:rsid w:val="00946683"/>
    <w:rsid w:val="009517BD"/>
    <w:rsid w:val="00956883"/>
    <w:rsid w:val="00956E72"/>
    <w:rsid w:val="00963AD2"/>
    <w:rsid w:val="00966956"/>
    <w:rsid w:val="009728A3"/>
    <w:rsid w:val="0097415F"/>
    <w:rsid w:val="00980241"/>
    <w:rsid w:val="009849C2"/>
    <w:rsid w:val="009875A7"/>
    <w:rsid w:val="00990B0A"/>
    <w:rsid w:val="0099241C"/>
    <w:rsid w:val="00995412"/>
    <w:rsid w:val="009A0759"/>
    <w:rsid w:val="009A1C67"/>
    <w:rsid w:val="009B12B7"/>
    <w:rsid w:val="009B4249"/>
    <w:rsid w:val="009B7B41"/>
    <w:rsid w:val="009C1F01"/>
    <w:rsid w:val="009C2FCD"/>
    <w:rsid w:val="009C51EB"/>
    <w:rsid w:val="009D0102"/>
    <w:rsid w:val="009D0DF2"/>
    <w:rsid w:val="009D1D4A"/>
    <w:rsid w:val="009E0F1E"/>
    <w:rsid w:val="009E200E"/>
    <w:rsid w:val="009F1FB5"/>
    <w:rsid w:val="009F4EC7"/>
    <w:rsid w:val="00A03F5B"/>
    <w:rsid w:val="00A04FA4"/>
    <w:rsid w:val="00A07B59"/>
    <w:rsid w:val="00A113FE"/>
    <w:rsid w:val="00A168D6"/>
    <w:rsid w:val="00A212B9"/>
    <w:rsid w:val="00A21E16"/>
    <w:rsid w:val="00A22A27"/>
    <w:rsid w:val="00A27717"/>
    <w:rsid w:val="00A35DCD"/>
    <w:rsid w:val="00A42DBF"/>
    <w:rsid w:val="00A43A3B"/>
    <w:rsid w:val="00A56AFC"/>
    <w:rsid w:val="00A65765"/>
    <w:rsid w:val="00A67EF6"/>
    <w:rsid w:val="00A705AA"/>
    <w:rsid w:val="00A717A2"/>
    <w:rsid w:val="00A93200"/>
    <w:rsid w:val="00A958C8"/>
    <w:rsid w:val="00AA057D"/>
    <w:rsid w:val="00AA326A"/>
    <w:rsid w:val="00AA3F15"/>
    <w:rsid w:val="00AB502F"/>
    <w:rsid w:val="00AC0103"/>
    <w:rsid w:val="00AC1B13"/>
    <w:rsid w:val="00AC5B10"/>
    <w:rsid w:val="00AF1156"/>
    <w:rsid w:val="00AF3771"/>
    <w:rsid w:val="00B1521F"/>
    <w:rsid w:val="00B17E74"/>
    <w:rsid w:val="00B27BEB"/>
    <w:rsid w:val="00B31AFA"/>
    <w:rsid w:val="00B33221"/>
    <w:rsid w:val="00B347F0"/>
    <w:rsid w:val="00B35D79"/>
    <w:rsid w:val="00B409C1"/>
    <w:rsid w:val="00B43A47"/>
    <w:rsid w:val="00B479F1"/>
    <w:rsid w:val="00B56A22"/>
    <w:rsid w:val="00B56DDC"/>
    <w:rsid w:val="00B5787B"/>
    <w:rsid w:val="00B70EA9"/>
    <w:rsid w:val="00B71E7B"/>
    <w:rsid w:val="00B735BE"/>
    <w:rsid w:val="00B76B59"/>
    <w:rsid w:val="00B76C20"/>
    <w:rsid w:val="00B8292B"/>
    <w:rsid w:val="00B930DD"/>
    <w:rsid w:val="00B956C0"/>
    <w:rsid w:val="00B958F4"/>
    <w:rsid w:val="00BA14A6"/>
    <w:rsid w:val="00BA66AA"/>
    <w:rsid w:val="00BA77A9"/>
    <w:rsid w:val="00BB62A5"/>
    <w:rsid w:val="00BC219C"/>
    <w:rsid w:val="00BE0EF0"/>
    <w:rsid w:val="00BE27BB"/>
    <w:rsid w:val="00BE51A4"/>
    <w:rsid w:val="00BE693E"/>
    <w:rsid w:val="00BE74A2"/>
    <w:rsid w:val="00BE7E7B"/>
    <w:rsid w:val="00BF2260"/>
    <w:rsid w:val="00C02DC9"/>
    <w:rsid w:val="00C06FA1"/>
    <w:rsid w:val="00C072BC"/>
    <w:rsid w:val="00C10CE8"/>
    <w:rsid w:val="00C172E4"/>
    <w:rsid w:val="00C17E9C"/>
    <w:rsid w:val="00C343F1"/>
    <w:rsid w:val="00C44994"/>
    <w:rsid w:val="00C4514B"/>
    <w:rsid w:val="00C61DAB"/>
    <w:rsid w:val="00C65221"/>
    <w:rsid w:val="00C73D9B"/>
    <w:rsid w:val="00C822AB"/>
    <w:rsid w:val="00C864E7"/>
    <w:rsid w:val="00C92B11"/>
    <w:rsid w:val="00C95139"/>
    <w:rsid w:val="00C9788A"/>
    <w:rsid w:val="00CA0D84"/>
    <w:rsid w:val="00CA1E14"/>
    <w:rsid w:val="00CB184C"/>
    <w:rsid w:val="00CB205D"/>
    <w:rsid w:val="00CB5F15"/>
    <w:rsid w:val="00CB7F6F"/>
    <w:rsid w:val="00CE27E0"/>
    <w:rsid w:val="00CF5810"/>
    <w:rsid w:val="00CF5F71"/>
    <w:rsid w:val="00D02952"/>
    <w:rsid w:val="00D1552C"/>
    <w:rsid w:val="00D16154"/>
    <w:rsid w:val="00D16F78"/>
    <w:rsid w:val="00D177A6"/>
    <w:rsid w:val="00D22DA7"/>
    <w:rsid w:val="00D238AF"/>
    <w:rsid w:val="00D25097"/>
    <w:rsid w:val="00D26AAE"/>
    <w:rsid w:val="00D333CD"/>
    <w:rsid w:val="00D443E2"/>
    <w:rsid w:val="00D4482D"/>
    <w:rsid w:val="00D4797E"/>
    <w:rsid w:val="00D47C13"/>
    <w:rsid w:val="00D61651"/>
    <w:rsid w:val="00D61833"/>
    <w:rsid w:val="00D61D6A"/>
    <w:rsid w:val="00D62877"/>
    <w:rsid w:val="00D6334D"/>
    <w:rsid w:val="00D6467A"/>
    <w:rsid w:val="00D777FE"/>
    <w:rsid w:val="00D81476"/>
    <w:rsid w:val="00D83043"/>
    <w:rsid w:val="00D9025B"/>
    <w:rsid w:val="00D95756"/>
    <w:rsid w:val="00DA16A7"/>
    <w:rsid w:val="00DA4149"/>
    <w:rsid w:val="00DB186C"/>
    <w:rsid w:val="00DB4EC8"/>
    <w:rsid w:val="00DC6848"/>
    <w:rsid w:val="00DD00C9"/>
    <w:rsid w:val="00DD4F09"/>
    <w:rsid w:val="00DD611C"/>
    <w:rsid w:val="00DD6B5B"/>
    <w:rsid w:val="00DE0D03"/>
    <w:rsid w:val="00DF2D89"/>
    <w:rsid w:val="00DF3ADF"/>
    <w:rsid w:val="00DF3D55"/>
    <w:rsid w:val="00E05D95"/>
    <w:rsid w:val="00E0752B"/>
    <w:rsid w:val="00E13411"/>
    <w:rsid w:val="00E14256"/>
    <w:rsid w:val="00E15EA8"/>
    <w:rsid w:val="00E16852"/>
    <w:rsid w:val="00E178D9"/>
    <w:rsid w:val="00E22E94"/>
    <w:rsid w:val="00E24B14"/>
    <w:rsid w:val="00E26ADD"/>
    <w:rsid w:val="00E309A3"/>
    <w:rsid w:val="00E345C3"/>
    <w:rsid w:val="00E36190"/>
    <w:rsid w:val="00E40CA6"/>
    <w:rsid w:val="00E45A6B"/>
    <w:rsid w:val="00E4695F"/>
    <w:rsid w:val="00E46CF7"/>
    <w:rsid w:val="00E604C6"/>
    <w:rsid w:val="00E63892"/>
    <w:rsid w:val="00E647F1"/>
    <w:rsid w:val="00E705E2"/>
    <w:rsid w:val="00E7687B"/>
    <w:rsid w:val="00E80633"/>
    <w:rsid w:val="00E8135D"/>
    <w:rsid w:val="00E83C1F"/>
    <w:rsid w:val="00E8571D"/>
    <w:rsid w:val="00E87022"/>
    <w:rsid w:val="00EA2D85"/>
    <w:rsid w:val="00EA3863"/>
    <w:rsid w:val="00EB0416"/>
    <w:rsid w:val="00EB4A51"/>
    <w:rsid w:val="00EB5CD3"/>
    <w:rsid w:val="00ED0BFF"/>
    <w:rsid w:val="00EE1A96"/>
    <w:rsid w:val="00EF0C61"/>
    <w:rsid w:val="00EF378F"/>
    <w:rsid w:val="00EF388F"/>
    <w:rsid w:val="00EF62C5"/>
    <w:rsid w:val="00F00DD8"/>
    <w:rsid w:val="00F029D4"/>
    <w:rsid w:val="00F03E97"/>
    <w:rsid w:val="00F1001D"/>
    <w:rsid w:val="00F259EF"/>
    <w:rsid w:val="00F26B8F"/>
    <w:rsid w:val="00F27ACB"/>
    <w:rsid w:val="00F35DBE"/>
    <w:rsid w:val="00F6336B"/>
    <w:rsid w:val="00F710CD"/>
    <w:rsid w:val="00F724F7"/>
    <w:rsid w:val="00F733B6"/>
    <w:rsid w:val="00F737B1"/>
    <w:rsid w:val="00F7534A"/>
    <w:rsid w:val="00F8095F"/>
    <w:rsid w:val="00F87D47"/>
    <w:rsid w:val="00F9077E"/>
    <w:rsid w:val="00F9715F"/>
    <w:rsid w:val="00FA0BD7"/>
    <w:rsid w:val="00FA3678"/>
    <w:rsid w:val="00FA4393"/>
    <w:rsid w:val="00FA6B6D"/>
    <w:rsid w:val="00FB0A6C"/>
    <w:rsid w:val="00FB12E2"/>
    <w:rsid w:val="00FB48D4"/>
    <w:rsid w:val="00FB4C21"/>
    <w:rsid w:val="00FB6119"/>
    <w:rsid w:val="00FC2ECC"/>
    <w:rsid w:val="00FD317E"/>
    <w:rsid w:val="00FD3799"/>
    <w:rsid w:val="00FE50FF"/>
    <w:rsid w:val="00FF223C"/>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4019A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35" w:qFormat="1"/>
    <w:lsdException w:name="Title" w:locked="1" w:semiHidden="0" w:uiPriority="10" w:unhideWhenUsed="0" w:qFormat="1"/>
    <w:lsdException w:name="Default Paragraph Font" w:locked="1"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BFE"/>
    <w:pPr>
      <w:spacing w:after="200" w:line="276" w:lineRule="auto"/>
    </w:pPr>
    <w:rPr>
      <w:sz w:val="20"/>
      <w:szCs w:val="20"/>
      <w:lang w:val="en-GB"/>
    </w:rPr>
  </w:style>
  <w:style w:type="paragraph" w:styleId="Heading1">
    <w:name w:val="heading 1"/>
    <w:basedOn w:val="Normal"/>
    <w:next w:val="Normal"/>
    <w:link w:val="Heading1Char"/>
    <w:uiPriority w:val="9"/>
    <w:qFormat/>
    <w:rsid w:val="00807758"/>
    <w:pPr>
      <w:numPr>
        <w:numId w:val="1"/>
      </w:numPr>
      <w:spacing w:before="300" w:after="40"/>
      <w:outlineLvl w:val="0"/>
    </w:pPr>
    <w:rPr>
      <w:smallCaps/>
      <w:spacing w:val="5"/>
      <w:sz w:val="32"/>
      <w:szCs w:val="32"/>
    </w:rPr>
  </w:style>
  <w:style w:type="paragraph" w:styleId="Heading2">
    <w:name w:val="heading 2"/>
    <w:basedOn w:val="Normal"/>
    <w:next w:val="Normal"/>
    <w:link w:val="Heading2Char"/>
    <w:uiPriority w:val="9"/>
    <w:qFormat/>
    <w:rsid w:val="00807758"/>
    <w:pPr>
      <w:numPr>
        <w:ilvl w:val="1"/>
        <w:numId w:val="1"/>
      </w:numPr>
      <w:spacing w:before="240" w:after="80"/>
      <w:outlineLvl w:val="1"/>
    </w:pPr>
    <w:rPr>
      <w:smallCaps/>
      <w:spacing w:val="5"/>
      <w:sz w:val="28"/>
      <w:szCs w:val="28"/>
    </w:rPr>
  </w:style>
  <w:style w:type="paragraph" w:styleId="Heading3">
    <w:name w:val="heading 3"/>
    <w:basedOn w:val="Normal"/>
    <w:next w:val="Normal"/>
    <w:link w:val="Heading3Char"/>
    <w:uiPriority w:val="9"/>
    <w:qFormat/>
    <w:rsid w:val="00807758"/>
    <w:pPr>
      <w:numPr>
        <w:ilvl w:val="2"/>
        <w:numId w:val="1"/>
      </w:numPr>
      <w:spacing w:after="0"/>
      <w:outlineLvl w:val="2"/>
    </w:pPr>
    <w:rPr>
      <w:smallCaps/>
      <w:spacing w:val="5"/>
      <w:sz w:val="24"/>
      <w:szCs w:val="24"/>
    </w:rPr>
  </w:style>
  <w:style w:type="paragraph" w:styleId="Heading4">
    <w:name w:val="heading 4"/>
    <w:basedOn w:val="Normal"/>
    <w:next w:val="Normal"/>
    <w:link w:val="Heading4Char"/>
    <w:uiPriority w:val="9"/>
    <w:qFormat/>
    <w:rsid w:val="00807758"/>
    <w:pPr>
      <w:numPr>
        <w:ilvl w:val="3"/>
        <w:numId w:val="1"/>
      </w:numPr>
      <w:spacing w:before="240" w:after="0"/>
      <w:outlineLvl w:val="3"/>
    </w:pPr>
    <w:rPr>
      <w:smallCaps/>
      <w:spacing w:val="10"/>
      <w:sz w:val="22"/>
      <w:szCs w:val="22"/>
    </w:rPr>
  </w:style>
  <w:style w:type="paragraph" w:styleId="Heading5">
    <w:name w:val="heading 5"/>
    <w:basedOn w:val="Normal"/>
    <w:next w:val="Normal"/>
    <w:link w:val="Heading5Char"/>
    <w:uiPriority w:val="9"/>
    <w:qFormat/>
    <w:rsid w:val="00807758"/>
    <w:pPr>
      <w:numPr>
        <w:ilvl w:val="4"/>
        <w:numId w:val="1"/>
      </w:numPr>
      <w:spacing w:before="200" w:after="0"/>
      <w:outlineLvl w:val="4"/>
    </w:pPr>
    <w:rPr>
      <w:smallCaps/>
      <w:color w:val="1B77A1"/>
      <w:spacing w:val="10"/>
      <w:sz w:val="22"/>
      <w:szCs w:val="26"/>
    </w:rPr>
  </w:style>
  <w:style w:type="paragraph" w:styleId="Heading6">
    <w:name w:val="heading 6"/>
    <w:basedOn w:val="Normal"/>
    <w:next w:val="Normal"/>
    <w:link w:val="Heading6Char"/>
    <w:uiPriority w:val="9"/>
    <w:qFormat/>
    <w:rsid w:val="00807758"/>
    <w:pPr>
      <w:numPr>
        <w:ilvl w:val="5"/>
        <w:numId w:val="1"/>
      </w:numPr>
      <w:spacing w:after="0"/>
      <w:outlineLvl w:val="5"/>
    </w:pPr>
    <w:rPr>
      <w:smallCaps/>
      <w:color w:val="24A0D8"/>
      <w:spacing w:val="5"/>
      <w:sz w:val="22"/>
    </w:rPr>
  </w:style>
  <w:style w:type="paragraph" w:styleId="Heading7">
    <w:name w:val="heading 7"/>
    <w:basedOn w:val="Normal"/>
    <w:next w:val="Normal"/>
    <w:link w:val="Heading7Char"/>
    <w:uiPriority w:val="9"/>
    <w:qFormat/>
    <w:rsid w:val="00807758"/>
    <w:pPr>
      <w:numPr>
        <w:ilvl w:val="6"/>
        <w:numId w:val="1"/>
      </w:numPr>
      <w:spacing w:after="0"/>
      <w:outlineLvl w:val="6"/>
    </w:pPr>
    <w:rPr>
      <w:b/>
      <w:smallCaps/>
      <w:color w:val="24A0D8"/>
      <w:spacing w:val="10"/>
    </w:rPr>
  </w:style>
  <w:style w:type="paragraph" w:styleId="Heading8">
    <w:name w:val="heading 8"/>
    <w:basedOn w:val="Normal"/>
    <w:next w:val="Normal"/>
    <w:link w:val="Heading8Char"/>
    <w:uiPriority w:val="9"/>
    <w:qFormat/>
    <w:rsid w:val="00807758"/>
    <w:pPr>
      <w:numPr>
        <w:ilvl w:val="7"/>
        <w:numId w:val="1"/>
      </w:numPr>
      <w:spacing w:after="0"/>
      <w:outlineLvl w:val="7"/>
    </w:pPr>
    <w:rPr>
      <w:b/>
      <w:i/>
      <w:smallCaps/>
      <w:color w:val="1B77A1"/>
    </w:rPr>
  </w:style>
  <w:style w:type="paragraph" w:styleId="Heading9">
    <w:name w:val="heading 9"/>
    <w:basedOn w:val="Normal"/>
    <w:next w:val="Normal"/>
    <w:link w:val="Heading9Char"/>
    <w:uiPriority w:val="9"/>
    <w:qFormat/>
    <w:rsid w:val="00807758"/>
    <w:pPr>
      <w:numPr>
        <w:ilvl w:val="8"/>
        <w:numId w:val="1"/>
      </w:numPr>
      <w:spacing w:after="0"/>
      <w:outlineLvl w:val="8"/>
    </w:pPr>
    <w:rPr>
      <w:b/>
      <w:i/>
      <w:smallCaps/>
      <w:color w:val="124F6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4C21"/>
    <w:rPr>
      <w:smallCaps/>
      <w:spacing w:val="5"/>
      <w:sz w:val="32"/>
      <w:szCs w:val="32"/>
      <w:lang w:val="en-GB"/>
    </w:rPr>
  </w:style>
  <w:style w:type="character" w:customStyle="1" w:styleId="Heading2Char">
    <w:name w:val="Heading 2 Char"/>
    <w:basedOn w:val="DefaultParagraphFont"/>
    <w:link w:val="Heading2"/>
    <w:uiPriority w:val="9"/>
    <w:locked/>
    <w:rsid w:val="00FB4C21"/>
    <w:rPr>
      <w:smallCaps/>
      <w:spacing w:val="5"/>
      <w:sz w:val="28"/>
      <w:szCs w:val="28"/>
      <w:lang w:val="en-GB"/>
    </w:rPr>
  </w:style>
  <w:style w:type="character" w:customStyle="1" w:styleId="Heading3Char">
    <w:name w:val="Heading 3 Char"/>
    <w:basedOn w:val="DefaultParagraphFont"/>
    <w:link w:val="Heading3"/>
    <w:uiPriority w:val="9"/>
    <w:locked/>
    <w:rsid w:val="00FB4C21"/>
    <w:rPr>
      <w:smallCaps/>
      <w:spacing w:val="5"/>
      <w:sz w:val="24"/>
      <w:szCs w:val="24"/>
      <w:lang w:val="en-GB"/>
    </w:rPr>
  </w:style>
  <w:style w:type="character" w:customStyle="1" w:styleId="Heading4Char">
    <w:name w:val="Heading 4 Char"/>
    <w:basedOn w:val="DefaultParagraphFont"/>
    <w:link w:val="Heading4"/>
    <w:uiPriority w:val="9"/>
    <w:locked/>
    <w:rsid w:val="00FB4C21"/>
    <w:rPr>
      <w:smallCaps/>
      <w:spacing w:val="10"/>
      <w:lang w:val="en-GB"/>
    </w:rPr>
  </w:style>
  <w:style w:type="character" w:customStyle="1" w:styleId="Heading5Char">
    <w:name w:val="Heading 5 Char"/>
    <w:basedOn w:val="DefaultParagraphFont"/>
    <w:link w:val="Heading5"/>
    <w:uiPriority w:val="9"/>
    <w:locked/>
    <w:rsid w:val="00FB4C21"/>
    <w:rPr>
      <w:smallCaps/>
      <w:color w:val="1B77A1"/>
      <w:spacing w:val="10"/>
      <w:szCs w:val="26"/>
      <w:lang w:val="en-GB"/>
    </w:rPr>
  </w:style>
  <w:style w:type="character" w:customStyle="1" w:styleId="Heading6Char">
    <w:name w:val="Heading 6 Char"/>
    <w:basedOn w:val="DefaultParagraphFont"/>
    <w:link w:val="Heading6"/>
    <w:uiPriority w:val="9"/>
    <w:locked/>
    <w:rsid w:val="00FB4C21"/>
    <w:rPr>
      <w:smallCaps/>
      <w:color w:val="24A0D8"/>
      <w:spacing w:val="5"/>
      <w:szCs w:val="20"/>
      <w:lang w:val="en-GB"/>
    </w:rPr>
  </w:style>
  <w:style w:type="character" w:customStyle="1" w:styleId="Heading7Char">
    <w:name w:val="Heading 7 Char"/>
    <w:basedOn w:val="DefaultParagraphFont"/>
    <w:link w:val="Heading7"/>
    <w:uiPriority w:val="9"/>
    <w:locked/>
    <w:rsid w:val="00FB4C21"/>
    <w:rPr>
      <w:b/>
      <w:smallCaps/>
      <w:color w:val="24A0D8"/>
      <w:spacing w:val="10"/>
      <w:sz w:val="20"/>
      <w:szCs w:val="20"/>
      <w:lang w:val="en-GB"/>
    </w:rPr>
  </w:style>
  <w:style w:type="character" w:customStyle="1" w:styleId="Heading8Char">
    <w:name w:val="Heading 8 Char"/>
    <w:basedOn w:val="DefaultParagraphFont"/>
    <w:link w:val="Heading8"/>
    <w:uiPriority w:val="9"/>
    <w:locked/>
    <w:rsid w:val="00FB4C21"/>
    <w:rPr>
      <w:b/>
      <w:i/>
      <w:smallCaps/>
      <w:color w:val="1B77A1"/>
      <w:sz w:val="20"/>
      <w:szCs w:val="20"/>
      <w:lang w:val="en-GB"/>
    </w:rPr>
  </w:style>
  <w:style w:type="character" w:customStyle="1" w:styleId="Heading9Char">
    <w:name w:val="Heading 9 Char"/>
    <w:basedOn w:val="DefaultParagraphFont"/>
    <w:link w:val="Heading9"/>
    <w:uiPriority w:val="9"/>
    <w:locked/>
    <w:rsid w:val="00FB4C21"/>
    <w:rPr>
      <w:b/>
      <w:i/>
      <w:smallCaps/>
      <w:color w:val="124F6B"/>
      <w:sz w:val="20"/>
      <w:szCs w:val="20"/>
      <w:lang w:val="en-GB"/>
    </w:rPr>
  </w:style>
  <w:style w:type="paragraph" w:styleId="Caption">
    <w:name w:val="caption"/>
    <w:basedOn w:val="Normal"/>
    <w:next w:val="Normal"/>
    <w:uiPriority w:val="35"/>
    <w:qFormat/>
    <w:rsid w:val="00807758"/>
    <w:rPr>
      <w:b/>
      <w:bCs/>
      <w:sz w:val="16"/>
      <w:szCs w:val="18"/>
    </w:rPr>
  </w:style>
  <w:style w:type="paragraph" w:styleId="Title">
    <w:name w:val="Title"/>
    <w:basedOn w:val="Normal"/>
    <w:next w:val="Normal"/>
    <w:link w:val="TitleChar"/>
    <w:uiPriority w:val="10"/>
    <w:qFormat/>
    <w:rsid w:val="00807758"/>
    <w:pPr>
      <w:pBdr>
        <w:top w:val="single" w:sz="12" w:space="1" w:color="24A0D8"/>
      </w:pBdr>
      <w:spacing w:line="240" w:lineRule="auto"/>
    </w:pPr>
    <w:rPr>
      <w:smallCaps/>
      <w:sz w:val="48"/>
      <w:szCs w:val="48"/>
    </w:rPr>
  </w:style>
  <w:style w:type="character" w:customStyle="1" w:styleId="TitleChar">
    <w:name w:val="Title Char"/>
    <w:basedOn w:val="DefaultParagraphFont"/>
    <w:link w:val="Title"/>
    <w:uiPriority w:val="10"/>
    <w:locked/>
    <w:rsid w:val="00245430"/>
    <w:rPr>
      <w:smallCaps/>
      <w:sz w:val="48"/>
      <w:szCs w:val="48"/>
      <w:lang w:val="en-GB"/>
    </w:rPr>
  </w:style>
  <w:style w:type="paragraph" w:styleId="Subtitle">
    <w:name w:val="Subtitle"/>
    <w:basedOn w:val="Normal"/>
    <w:next w:val="Normal"/>
    <w:link w:val="SubtitleChar"/>
    <w:uiPriority w:val="11"/>
    <w:qFormat/>
    <w:rsid w:val="00807758"/>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locked/>
    <w:rsid w:val="00FB4C21"/>
    <w:rPr>
      <w:rFonts w:ascii="Cambria" w:hAnsi="Cambria"/>
      <w:sz w:val="20"/>
      <w:lang w:val="en-GB"/>
    </w:rPr>
  </w:style>
  <w:style w:type="character" w:styleId="Strong">
    <w:name w:val="Strong"/>
    <w:basedOn w:val="DefaultParagraphFont"/>
    <w:uiPriority w:val="22"/>
    <w:qFormat/>
    <w:rsid w:val="00807758"/>
    <w:rPr>
      <w:rFonts w:cs="Times New Roman"/>
      <w:b/>
      <w:color w:val="24A0D8"/>
    </w:rPr>
  </w:style>
  <w:style w:type="character" w:styleId="Emphasis">
    <w:name w:val="Emphasis"/>
    <w:basedOn w:val="DefaultParagraphFont"/>
    <w:uiPriority w:val="20"/>
    <w:qFormat/>
    <w:rsid w:val="00FB4C21"/>
    <w:rPr>
      <w:rFonts w:cs="Times New Roman"/>
      <w:b/>
      <w:i/>
      <w:spacing w:val="10"/>
    </w:rPr>
  </w:style>
  <w:style w:type="paragraph" w:styleId="NoSpacing">
    <w:name w:val="No Spacing"/>
    <w:basedOn w:val="Normal"/>
    <w:link w:val="NoSpacingChar"/>
    <w:uiPriority w:val="1"/>
    <w:qFormat/>
    <w:rsid w:val="00807758"/>
    <w:pPr>
      <w:spacing w:after="0" w:line="240" w:lineRule="auto"/>
    </w:pPr>
  </w:style>
  <w:style w:type="character" w:customStyle="1" w:styleId="NoSpacingChar">
    <w:name w:val="No Spacing Char"/>
    <w:basedOn w:val="DefaultParagraphFont"/>
    <w:link w:val="NoSpacing"/>
    <w:uiPriority w:val="1"/>
    <w:locked/>
    <w:rsid w:val="00FB4C21"/>
    <w:rPr>
      <w:sz w:val="20"/>
      <w:szCs w:val="20"/>
      <w:lang w:val="en-GB"/>
    </w:rPr>
  </w:style>
  <w:style w:type="paragraph" w:styleId="ListParagraph">
    <w:name w:val="List Paragraph"/>
    <w:basedOn w:val="Normal"/>
    <w:uiPriority w:val="34"/>
    <w:qFormat/>
    <w:rsid w:val="00807758"/>
    <w:pPr>
      <w:ind w:left="720"/>
      <w:contextualSpacing/>
    </w:pPr>
  </w:style>
  <w:style w:type="paragraph" w:styleId="Quote">
    <w:name w:val="Quote"/>
    <w:basedOn w:val="Normal"/>
    <w:next w:val="Normal"/>
    <w:link w:val="QuoteChar"/>
    <w:uiPriority w:val="29"/>
    <w:qFormat/>
    <w:rsid w:val="00807758"/>
    <w:pPr>
      <w:ind w:left="851" w:right="851"/>
    </w:pPr>
    <w:rPr>
      <w:i/>
    </w:rPr>
  </w:style>
  <w:style w:type="character" w:customStyle="1" w:styleId="QuoteChar">
    <w:name w:val="Quote Char"/>
    <w:basedOn w:val="DefaultParagraphFont"/>
    <w:link w:val="Quote"/>
    <w:uiPriority w:val="29"/>
    <w:locked/>
    <w:rsid w:val="00D9025B"/>
    <w:rPr>
      <w:i/>
      <w:sz w:val="20"/>
      <w:szCs w:val="20"/>
      <w:lang w:val="en-GB"/>
    </w:rPr>
  </w:style>
  <w:style w:type="paragraph" w:styleId="IntenseQuote">
    <w:name w:val="Intense Quote"/>
    <w:basedOn w:val="Normal"/>
    <w:next w:val="Normal"/>
    <w:link w:val="IntenseQuoteChar"/>
    <w:uiPriority w:val="30"/>
    <w:qFormat/>
    <w:rsid w:val="00807758"/>
    <w:pPr>
      <w:pBdr>
        <w:top w:val="single" w:sz="8" w:space="10" w:color="1B77A1"/>
        <w:left w:val="single" w:sz="8" w:space="10" w:color="1B77A1"/>
        <w:bottom w:val="single" w:sz="8" w:space="10" w:color="1B77A1"/>
        <w:right w:val="single" w:sz="8" w:space="10" w:color="1B77A1"/>
      </w:pBdr>
      <w:shd w:val="clear" w:color="auto" w:fill="24A0D8"/>
      <w:spacing w:before="140" w:after="140"/>
      <w:ind w:left="1440" w:right="1440"/>
    </w:pPr>
    <w:rPr>
      <w:b/>
      <w:i/>
      <w:color w:val="FFFFFF"/>
    </w:rPr>
  </w:style>
  <w:style w:type="character" w:customStyle="1" w:styleId="IntenseQuoteChar">
    <w:name w:val="Intense Quote Char"/>
    <w:basedOn w:val="DefaultParagraphFont"/>
    <w:link w:val="IntenseQuote"/>
    <w:uiPriority w:val="30"/>
    <w:locked/>
    <w:rsid w:val="00FB4C21"/>
    <w:rPr>
      <w:b/>
      <w:i/>
      <w:color w:val="FFFFFF"/>
      <w:sz w:val="20"/>
      <w:szCs w:val="20"/>
      <w:shd w:val="clear" w:color="auto" w:fill="24A0D8"/>
      <w:lang w:val="en-GB"/>
    </w:rPr>
  </w:style>
  <w:style w:type="character" w:styleId="SubtleEmphasis">
    <w:name w:val="Subtle Emphasis"/>
    <w:basedOn w:val="DefaultParagraphFont"/>
    <w:uiPriority w:val="19"/>
    <w:qFormat/>
    <w:rsid w:val="00FB4C21"/>
    <w:rPr>
      <w:i/>
    </w:rPr>
  </w:style>
  <w:style w:type="character" w:styleId="IntenseEmphasis">
    <w:name w:val="Intense Emphasis"/>
    <w:basedOn w:val="DefaultParagraphFont"/>
    <w:uiPriority w:val="21"/>
    <w:qFormat/>
    <w:rsid w:val="00807758"/>
    <w:rPr>
      <w:b/>
      <w:i/>
      <w:color w:val="24A0D8"/>
      <w:spacing w:val="10"/>
    </w:rPr>
  </w:style>
  <w:style w:type="character" w:styleId="SubtleReference">
    <w:name w:val="Subtle Reference"/>
    <w:basedOn w:val="DefaultParagraphFont"/>
    <w:uiPriority w:val="31"/>
    <w:qFormat/>
    <w:rsid w:val="00FB4C21"/>
    <w:rPr>
      <w:b/>
    </w:rPr>
  </w:style>
  <w:style w:type="character" w:styleId="IntenseReference">
    <w:name w:val="Intense Reference"/>
    <w:basedOn w:val="DefaultParagraphFont"/>
    <w:uiPriority w:val="32"/>
    <w:qFormat/>
    <w:rsid w:val="00FB4C21"/>
    <w:rPr>
      <w:b/>
      <w:smallCaps/>
      <w:spacing w:val="5"/>
      <w:sz w:val="22"/>
      <w:u w:val="single"/>
    </w:rPr>
  </w:style>
  <w:style w:type="character" w:styleId="BookTitle">
    <w:name w:val="Book Title"/>
    <w:basedOn w:val="DefaultParagraphFont"/>
    <w:uiPriority w:val="33"/>
    <w:qFormat/>
    <w:rsid w:val="00807758"/>
    <w:rPr>
      <w:rFonts w:ascii="Cambria" w:hAnsi="Cambria"/>
      <w:i/>
      <w:sz w:val="20"/>
    </w:rPr>
  </w:style>
  <w:style w:type="paragraph" w:styleId="TOCHeading">
    <w:name w:val="TOC Heading"/>
    <w:basedOn w:val="Heading1"/>
    <w:next w:val="Normal"/>
    <w:uiPriority w:val="39"/>
    <w:qFormat/>
    <w:rsid w:val="00807758"/>
    <w:pPr>
      <w:outlineLvl w:val="9"/>
    </w:pPr>
  </w:style>
  <w:style w:type="character" w:styleId="Hyperlink">
    <w:name w:val="Hyperlink"/>
    <w:basedOn w:val="DefaultParagraphFont"/>
    <w:uiPriority w:val="99"/>
    <w:rsid w:val="00807758"/>
    <w:rPr>
      <w:rFonts w:cs="Times New Roman"/>
      <w:color w:val="0000FF"/>
      <w:u w:val="single"/>
    </w:rPr>
  </w:style>
  <w:style w:type="table" w:styleId="TableGrid">
    <w:name w:val="Table Grid"/>
    <w:basedOn w:val="TableNormal"/>
    <w:uiPriority w:val="59"/>
    <w:rsid w:val="00457D4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807758"/>
    <w:rPr>
      <w:rFonts w:cs="Times New Roman"/>
      <w:sz w:val="16"/>
    </w:rPr>
  </w:style>
  <w:style w:type="paragraph" w:styleId="CommentText">
    <w:name w:val="annotation text"/>
    <w:basedOn w:val="Normal"/>
    <w:link w:val="CommentTextChar"/>
    <w:uiPriority w:val="99"/>
    <w:rsid w:val="00807758"/>
    <w:pPr>
      <w:spacing w:line="240" w:lineRule="auto"/>
    </w:pPr>
  </w:style>
  <w:style w:type="character" w:customStyle="1" w:styleId="CommentTextChar">
    <w:name w:val="Comment Text Char"/>
    <w:basedOn w:val="DefaultParagraphFont"/>
    <w:link w:val="CommentText"/>
    <w:uiPriority w:val="99"/>
    <w:locked/>
    <w:rsid w:val="009E200E"/>
    <w:rPr>
      <w:sz w:val="20"/>
      <w:szCs w:val="20"/>
      <w:lang w:val="en-GB"/>
    </w:rPr>
  </w:style>
  <w:style w:type="paragraph" w:styleId="CommentSubject">
    <w:name w:val="annotation subject"/>
    <w:basedOn w:val="CommentText"/>
    <w:next w:val="CommentText"/>
    <w:link w:val="CommentSubjectChar"/>
    <w:uiPriority w:val="99"/>
    <w:semiHidden/>
    <w:rsid w:val="00807758"/>
    <w:rPr>
      <w:b/>
      <w:bCs/>
    </w:rPr>
  </w:style>
  <w:style w:type="character" w:customStyle="1" w:styleId="CommentSubjectChar">
    <w:name w:val="Comment Subject Char"/>
    <w:basedOn w:val="CommentTextChar"/>
    <w:link w:val="CommentSubject"/>
    <w:uiPriority w:val="99"/>
    <w:semiHidden/>
    <w:locked/>
    <w:rsid w:val="009E200E"/>
    <w:rPr>
      <w:b/>
      <w:bCs/>
      <w:sz w:val="20"/>
      <w:szCs w:val="20"/>
      <w:lang w:val="en-GB"/>
    </w:rPr>
  </w:style>
  <w:style w:type="paragraph" w:styleId="BalloonText">
    <w:name w:val="Balloon Text"/>
    <w:basedOn w:val="Normal"/>
    <w:link w:val="BalloonTextChar"/>
    <w:uiPriority w:val="99"/>
    <w:semiHidden/>
    <w:rsid w:val="00807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200E"/>
    <w:rPr>
      <w:rFonts w:ascii="Tahoma" w:hAnsi="Tahoma" w:cs="Tahoma"/>
      <w:sz w:val="16"/>
      <w:szCs w:val="16"/>
      <w:lang w:val="en-GB"/>
    </w:rPr>
  </w:style>
  <w:style w:type="paragraph" w:styleId="FootnoteText">
    <w:name w:val="footnote text"/>
    <w:basedOn w:val="Normal"/>
    <w:link w:val="FootnoteTextChar"/>
    <w:uiPriority w:val="99"/>
    <w:semiHidden/>
    <w:rsid w:val="00807758"/>
    <w:pPr>
      <w:spacing w:after="0" w:line="240" w:lineRule="auto"/>
    </w:pPr>
  </w:style>
  <w:style w:type="character" w:customStyle="1" w:styleId="FootnoteTextChar">
    <w:name w:val="Footnote Text Char"/>
    <w:basedOn w:val="DefaultParagraphFont"/>
    <w:link w:val="FootnoteText"/>
    <w:uiPriority w:val="99"/>
    <w:semiHidden/>
    <w:locked/>
    <w:rsid w:val="009E200E"/>
    <w:rPr>
      <w:sz w:val="20"/>
      <w:szCs w:val="20"/>
      <w:lang w:val="en-GB"/>
    </w:rPr>
  </w:style>
  <w:style w:type="character" w:styleId="FootnoteReference">
    <w:name w:val="footnote reference"/>
    <w:basedOn w:val="DefaultParagraphFont"/>
    <w:uiPriority w:val="99"/>
    <w:semiHidden/>
    <w:rsid w:val="00807758"/>
    <w:rPr>
      <w:rFonts w:cs="Times New Roman"/>
      <w:vertAlign w:val="superscript"/>
    </w:rPr>
  </w:style>
  <w:style w:type="paragraph" w:styleId="Revision">
    <w:name w:val="Revision"/>
    <w:hidden/>
    <w:uiPriority w:val="99"/>
    <w:semiHidden/>
    <w:rsid w:val="00807758"/>
    <w:rPr>
      <w:sz w:val="20"/>
      <w:szCs w:val="20"/>
      <w:lang w:val="en-GB"/>
    </w:rPr>
  </w:style>
  <w:style w:type="character" w:styleId="LineNumber">
    <w:name w:val="line number"/>
    <w:basedOn w:val="DefaultParagraphFont"/>
    <w:uiPriority w:val="99"/>
    <w:semiHidden/>
    <w:rsid w:val="00807758"/>
    <w:rPr>
      <w:rFonts w:cs="Times New Roman"/>
    </w:rPr>
  </w:style>
  <w:style w:type="paragraph" w:styleId="Header">
    <w:name w:val="header"/>
    <w:basedOn w:val="Normal"/>
    <w:link w:val="HeaderChar"/>
    <w:uiPriority w:val="99"/>
    <w:rsid w:val="0080775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177A6"/>
    <w:rPr>
      <w:sz w:val="20"/>
      <w:szCs w:val="20"/>
      <w:lang w:val="en-GB"/>
    </w:rPr>
  </w:style>
  <w:style w:type="paragraph" w:styleId="Footer">
    <w:name w:val="footer"/>
    <w:basedOn w:val="Normal"/>
    <w:link w:val="FooterChar"/>
    <w:uiPriority w:val="99"/>
    <w:rsid w:val="0080775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177A6"/>
    <w:rPr>
      <w:sz w:val="20"/>
      <w:szCs w:val="20"/>
      <w:lang w:val="en-GB"/>
    </w:rPr>
  </w:style>
  <w:style w:type="character" w:styleId="FollowedHyperlink">
    <w:name w:val="FollowedHyperlink"/>
    <w:basedOn w:val="DefaultParagraphFont"/>
    <w:uiPriority w:val="99"/>
    <w:semiHidden/>
    <w:unhideWhenUsed/>
    <w:rsid w:val="00C95139"/>
    <w:rPr>
      <w:color w:val="800080" w:themeColor="followedHyperlink"/>
      <w:u w:val="single"/>
    </w:rPr>
  </w:style>
  <w:style w:type="table" w:styleId="LightShading">
    <w:name w:val="Light Shading"/>
    <w:basedOn w:val="TableNormal"/>
    <w:uiPriority w:val="60"/>
    <w:rsid w:val="008D6B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basedOn w:val="DefaultParagraphFont"/>
    <w:uiPriority w:val="99"/>
    <w:semiHidden/>
    <w:unhideWhenUsed/>
    <w:rsid w:val="005D17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35" w:qFormat="1"/>
    <w:lsdException w:name="Title" w:locked="1" w:semiHidden="0" w:uiPriority="10" w:unhideWhenUsed="0" w:qFormat="1"/>
    <w:lsdException w:name="Default Paragraph Font" w:locked="1"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BFE"/>
    <w:pPr>
      <w:spacing w:after="200" w:line="276" w:lineRule="auto"/>
    </w:pPr>
    <w:rPr>
      <w:sz w:val="20"/>
      <w:szCs w:val="20"/>
      <w:lang w:val="en-GB"/>
    </w:rPr>
  </w:style>
  <w:style w:type="paragraph" w:styleId="Heading1">
    <w:name w:val="heading 1"/>
    <w:basedOn w:val="Normal"/>
    <w:next w:val="Normal"/>
    <w:link w:val="Heading1Char"/>
    <w:uiPriority w:val="9"/>
    <w:qFormat/>
    <w:rsid w:val="00807758"/>
    <w:pPr>
      <w:numPr>
        <w:numId w:val="1"/>
      </w:numPr>
      <w:spacing w:before="300" w:after="40"/>
      <w:outlineLvl w:val="0"/>
    </w:pPr>
    <w:rPr>
      <w:smallCaps/>
      <w:spacing w:val="5"/>
      <w:sz w:val="32"/>
      <w:szCs w:val="32"/>
    </w:rPr>
  </w:style>
  <w:style w:type="paragraph" w:styleId="Heading2">
    <w:name w:val="heading 2"/>
    <w:basedOn w:val="Normal"/>
    <w:next w:val="Normal"/>
    <w:link w:val="Heading2Char"/>
    <w:uiPriority w:val="9"/>
    <w:qFormat/>
    <w:rsid w:val="00807758"/>
    <w:pPr>
      <w:numPr>
        <w:ilvl w:val="1"/>
        <w:numId w:val="1"/>
      </w:numPr>
      <w:spacing w:before="240" w:after="80"/>
      <w:outlineLvl w:val="1"/>
    </w:pPr>
    <w:rPr>
      <w:smallCaps/>
      <w:spacing w:val="5"/>
      <w:sz w:val="28"/>
      <w:szCs w:val="28"/>
    </w:rPr>
  </w:style>
  <w:style w:type="paragraph" w:styleId="Heading3">
    <w:name w:val="heading 3"/>
    <w:basedOn w:val="Normal"/>
    <w:next w:val="Normal"/>
    <w:link w:val="Heading3Char"/>
    <w:uiPriority w:val="9"/>
    <w:qFormat/>
    <w:rsid w:val="00807758"/>
    <w:pPr>
      <w:numPr>
        <w:ilvl w:val="2"/>
        <w:numId w:val="1"/>
      </w:numPr>
      <w:spacing w:after="0"/>
      <w:outlineLvl w:val="2"/>
    </w:pPr>
    <w:rPr>
      <w:smallCaps/>
      <w:spacing w:val="5"/>
      <w:sz w:val="24"/>
      <w:szCs w:val="24"/>
    </w:rPr>
  </w:style>
  <w:style w:type="paragraph" w:styleId="Heading4">
    <w:name w:val="heading 4"/>
    <w:basedOn w:val="Normal"/>
    <w:next w:val="Normal"/>
    <w:link w:val="Heading4Char"/>
    <w:uiPriority w:val="9"/>
    <w:qFormat/>
    <w:rsid w:val="00807758"/>
    <w:pPr>
      <w:numPr>
        <w:ilvl w:val="3"/>
        <w:numId w:val="1"/>
      </w:numPr>
      <w:spacing w:before="240" w:after="0"/>
      <w:outlineLvl w:val="3"/>
    </w:pPr>
    <w:rPr>
      <w:smallCaps/>
      <w:spacing w:val="10"/>
      <w:sz w:val="22"/>
      <w:szCs w:val="22"/>
    </w:rPr>
  </w:style>
  <w:style w:type="paragraph" w:styleId="Heading5">
    <w:name w:val="heading 5"/>
    <w:basedOn w:val="Normal"/>
    <w:next w:val="Normal"/>
    <w:link w:val="Heading5Char"/>
    <w:uiPriority w:val="9"/>
    <w:qFormat/>
    <w:rsid w:val="00807758"/>
    <w:pPr>
      <w:numPr>
        <w:ilvl w:val="4"/>
        <w:numId w:val="1"/>
      </w:numPr>
      <w:spacing w:before="200" w:after="0"/>
      <w:outlineLvl w:val="4"/>
    </w:pPr>
    <w:rPr>
      <w:smallCaps/>
      <w:color w:val="1B77A1"/>
      <w:spacing w:val="10"/>
      <w:sz w:val="22"/>
      <w:szCs w:val="26"/>
    </w:rPr>
  </w:style>
  <w:style w:type="paragraph" w:styleId="Heading6">
    <w:name w:val="heading 6"/>
    <w:basedOn w:val="Normal"/>
    <w:next w:val="Normal"/>
    <w:link w:val="Heading6Char"/>
    <w:uiPriority w:val="9"/>
    <w:qFormat/>
    <w:rsid w:val="00807758"/>
    <w:pPr>
      <w:numPr>
        <w:ilvl w:val="5"/>
        <w:numId w:val="1"/>
      </w:numPr>
      <w:spacing w:after="0"/>
      <w:outlineLvl w:val="5"/>
    </w:pPr>
    <w:rPr>
      <w:smallCaps/>
      <w:color w:val="24A0D8"/>
      <w:spacing w:val="5"/>
      <w:sz w:val="22"/>
    </w:rPr>
  </w:style>
  <w:style w:type="paragraph" w:styleId="Heading7">
    <w:name w:val="heading 7"/>
    <w:basedOn w:val="Normal"/>
    <w:next w:val="Normal"/>
    <w:link w:val="Heading7Char"/>
    <w:uiPriority w:val="9"/>
    <w:qFormat/>
    <w:rsid w:val="00807758"/>
    <w:pPr>
      <w:numPr>
        <w:ilvl w:val="6"/>
        <w:numId w:val="1"/>
      </w:numPr>
      <w:spacing w:after="0"/>
      <w:outlineLvl w:val="6"/>
    </w:pPr>
    <w:rPr>
      <w:b/>
      <w:smallCaps/>
      <w:color w:val="24A0D8"/>
      <w:spacing w:val="10"/>
    </w:rPr>
  </w:style>
  <w:style w:type="paragraph" w:styleId="Heading8">
    <w:name w:val="heading 8"/>
    <w:basedOn w:val="Normal"/>
    <w:next w:val="Normal"/>
    <w:link w:val="Heading8Char"/>
    <w:uiPriority w:val="9"/>
    <w:qFormat/>
    <w:rsid w:val="00807758"/>
    <w:pPr>
      <w:numPr>
        <w:ilvl w:val="7"/>
        <w:numId w:val="1"/>
      </w:numPr>
      <w:spacing w:after="0"/>
      <w:outlineLvl w:val="7"/>
    </w:pPr>
    <w:rPr>
      <w:b/>
      <w:i/>
      <w:smallCaps/>
      <w:color w:val="1B77A1"/>
    </w:rPr>
  </w:style>
  <w:style w:type="paragraph" w:styleId="Heading9">
    <w:name w:val="heading 9"/>
    <w:basedOn w:val="Normal"/>
    <w:next w:val="Normal"/>
    <w:link w:val="Heading9Char"/>
    <w:uiPriority w:val="9"/>
    <w:qFormat/>
    <w:rsid w:val="00807758"/>
    <w:pPr>
      <w:numPr>
        <w:ilvl w:val="8"/>
        <w:numId w:val="1"/>
      </w:numPr>
      <w:spacing w:after="0"/>
      <w:outlineLvl w:val="8"/>
    </w:pPr>
    <w:rPr>
      <w:b/>
      <w:i/>
      <w:smallCaps/>
      <w:color w:val="124F6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4C21"/>
    <w:rPr>
      <w:smallCaps/>
      <w:spacing w:val="5"/>
      <w:sz w:val="32"/>
      <w:szCs w:val="32"/>
      <w:lang w:val="en-GB"/>
    </w:rPr>
  </w:style>
  <w:style w:type="character" w:customStyle="1" w:styleId="Heading2Char">
    <w:name w:val="Heading 2 Char"/>
    <w:basedOn w:val="DefaultParagraphFont"/>
    <w:link w:val="Heading2"/>
    <w:uiPriority w:val="9"/>
    <w:locked/>
    <w:rsid w:val="00FB4C21"/>
    <w:rPr>
      <w:smallCaps/>
      <w:spacing w:val="5"/>
      <w:sz w:val="28"/>
      <w:szCs w:val="28"/>
      <w:lang w:val="en-GB"/>
    </w:rPr>
  </w:style>
  <w:style w:type="character" w:customStyle="1" w:styleId="Heading3Char">
    <w:name w:val="Heading 3 Char"/>
    <w:basedOn w:val="DefaultParagraphFont"/>
    <w:link w:val="Heading3"/>
    <w:uiPriority w:val="9"/>
    <w:locked/>
    <w:rsid w:val="00FB4C21"/>
    <w:rPr>
      <w:smallCaps/>
      <w:spacing w:val="5"/>
      <w:sz w:val="24"/>
      <w:szCs w:val="24"/>
      <w:lang w:val="en-GB"/>
    </w:rPr>
  </w:style>
  <w:style w:type="character" w:customStyle="1" w:styleId="Heading4Char">
    <w:name w:val="Heading 4 Char"/>
    <w:basedOn w:val="DefaultParagraphFont"/>
    <w:link w:val="Heading4"/>
    <w:uiPriority w:val="9"/>
    <w:locked/>
    <w:rsid w:val="00FB4C21"/>
    <w:rPr>
      <w:smallCaps/>
      <w:spacing w:val="10"/>
      <w:lang w:val="en-GB"/>
    </w:rPr>
  </w:style>
  <w:style w:type="character" w:customStyle="1" w:styleId="Heading5Char">
    <w:name w:val="Heading 5 Char"/>
    <w:basedOn w:val="DefaultParagraphFont"/>
    <w:link w:val="Heading5"/>
    <w:uiPriority w:val="9"/>
    <w:locked/>
    <w:rsid w:val="00FB4C21"/>
    <w:rPr>
      <w:smallCaps/>
      <w:color w:val="1B77A1"/>
      <w:spacing w:val="10"/>
      <w:szCs w:val="26"/>
      <w:lang w:val="en-GB"/>
    </w:rPr>
  </w:style>
  <w:style w:type="character" w:customStyle="1" w:styleId="Heading6Char">
    <w:name w:val="Heading 6 Char"/>
    <w:basedOn w:val="DefaultParagraphFont"/>
    <w:link w:val="Heading6"/>
    <w:uiPriority w:val="9"/>
    <w:locked/>
    <w:rsid w:val="00FB4C21"/>
    <w:rPr>
      <w:smallCaps/>
      <w:color w:val="24A0D8"/>
      <w:spacing w:val="5"/>
      <w:szCs w:val="20"/>
      <w:lang w:val="en-GB"/>
    </w:rPr>
  </w:style>
  <w:style w:type="character" w:customStyle="1" w:styleId="Heading7Char">
    <w:name w:val="Heading 7 Char"/>
    <w:basedOn w:val="DefaultParagraphFont"/>
    <w:link w:val="Heading7"/>
    <w:uiPriority w:val="9"/>
    <w:locked/>
    <w:rsid w:val="00FB4C21"/>
    <w:rPr>
      <w:b/>
      <w:smallCaps/>
      <w:color w:val="24A0D8"/>
      <w:spacing w:val="10"/>
      <w:sz w:val="20"/>
      <w:szCs w:val="20"/>
      <w:lang w:val="en-GB"/>
    </w:rPr>
  </w:style>
  <w:style w:type="character" w:customStyle="1" w:styleId="Heading8Char">
    <w:name w:val="Heading 8 Char"/>
    <w:basedOn w:val="DefaultParagraphFont"/>
    <w:link w:val="Heading8"/>
    <w:uiPriority w:val="9"/>
    <w:locked/>
    <w:rsid w:val="00FB4C21"/>
    <w:rPr>
      <w:b/>
      <w:i/>
      <w:smallCaps/>
      <w:color w:val="1B77A1"/>
      <w:sz w:val="20"/>
      <w:szCs w:val="20"/>
      <w:lang w:val="en-GB"/>
    </w:rPr>
  </w:style>
  <w:style w:type="character" w:customStyle="1" w:styleId="Heading9Char">
    <w:name w:val="Heading 9 Char"/>
    <w:basedOn w:val="DefaultParagraphFont"/>
    <w:link w:val="Heading9"/>
    <w:uiPriority w:val="9"/>
    <w:locked/>
    <w:rsid w:val="00FB4C21"/>
    <w:rPr>
      <w:b/>
      <w:i/>
      <w:smallCaps/>
      <w:color w:val="124F6B"/>
      <w:sz w:val="20"/>
      <w:szCs w:val="20"/>
      <w:lang w:val="en-GB"/>
    </w:rPr>
  </w:style>
  <w:style w:type="paragraph" w:styleId="Caption">
    <w:name w:val="caption"/>
    <w:basedOn w:val="Normal"/>
    <w:next w:val="Normal"/>
    <w:uiPriority w:val="35"/>
    <w:qFormat/>
    <w:rsid w:val="00807758"/>
    <w:rPr>
      <w:b/>
      <w:bCs/>
      <w:sz w:val="16"/>
      <w:szCs w:val="18"/>
    </w:rPr>
  </w:style>
  <w:style w:type="paragraph" w:styleId="Title">
    <w:name w:val="Title"/>
    <w:basedOn w:val="Normal"/>
    <w:next w:val="Normal"/>
    <w:link w:val="TitleChar"/>
    <w:uiPriority w:val="10"/>
    <w:qFormat/>
    <w:rsid w:val="00807758"/>
    <w:pPr>
      <w:pBdr>
        <w:top w:val="single" w:sz="12" w:space="1" w:color="24A0D8"/>
      </w:pBdr>
      <w:spacing w:line="240" w:lineRule="auto"/>
    </w:pPr>
    <w:rPr>
      <w:smallCaps/>
      <w:sz w:val="48"/>
      <w:szCs w:val="48"/>
    </w:rPr>
  </w:style>
  <w:style w:type="character" w:customStyle="1" w:styleId="TitleChar">
    <w:name w:val="Title Char"/>
    <w:basedOn w:val="DefaultParagraphFont"/>
    <w:link w:val="Title"/>
    <w:uiPriority w:val="10"/>
    <w:locked/>
    <w:rsid w:val="00245430"/>
    <w:rPr>
      <w:smallCaps/>
      <w:sz w:val="48"/>
      <w:szCs w:val="48"/>
      <w:lang w:val="en-GB"/>
    </w:rPr>
  </w:style>
  <w:style w:type="paragraph" w:styleId="Subtitle">
    <w:name w:val="Subtitle"/>
    <w:basedOn w:val="Normal"/>
    <w:next w:val="Normal"/>
    <w:link w:val="SubtitleChar"/>
    <w:uiPriority w:val="11"/>
    <w:qFormat/>
    <w:rsid w:val="00807758"/>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locked/>
    <w:rsid w:val="00FB4C21"/>
    <w:rPr>
      <w:rFonts w:ascii="Cambria" w:hAnsi="Cambria"/>
      <w:sz w:val="20"/>
      <w:lang w:val="en-GB"/>
    </w:rPr>
  </w:style>
  <w:style w:type="character" w:styleId="Strong">
    <w:name w:val="Strong"/>
    <w:basedOn w:val="DefaultParagraphFont"/>
    <w:uiPriority w:val="22"/>
    <w:qFormat/>
    <w:rsid w:val="00807758"/>
    <w:rPr>
      <w:rFonts w:cs="Times New Roman"/>
      <w:b/>
      <w:color w:val="24A0D8"/>
    </w:rPr>
  </w:style>
  <w:style w:type="character" w:styleId="Emphasis">
    <w:name w:val="Emphasis"/>
    <w:basedOn w:val="DefaultParagraphFont"/>
    <w:uiPriority w:val="20"/>
    <w:qFormat/>
    <w:rsid w:val="00FB4C21"/>
    <w:rPr>
      <w:rFonts w:cs="Times New Roman"/>
      <w:b/>
      <w:i/>
      <w:spacing w:val="10"/>
    </w:rPr>
  </w:style>
  <w:style w:type="paragraph" w:styleId="NoSpacing">
    <w:name w:val="No Spacing"/>
    <w:basedOn w:val="Normal"/>
    <w:link w:val="NoSpacingChar"/>
    <w:uiPriority w:val="1"/>
    <w:qFormat/>
    <w:rsid w:val="00807758"/>
    <w:pPr>
      <w:spacing w:after="0" w:line="240" w:lineRule="auto"/>
    </w:pPr>
  </w:style>
  <w:style w:type="character" w:customStyle="1" w:styleId="NoSpacingChar">
    <w:name w:val="No Spacing Char"/>
    <w:basedOn w:val="DefaultParagraphFont"/>
    <w:link w:val="NoSpacing"/>
    <w:uiPriority w:val="1"/>
    <w:locked/>
    <w:rsid w:val="00FB4C21"/>
    <w:rPr>
      <w:sz w:val="20"/>
      <w:szCs w:val="20"/>
      <w:lang w:val="en-GB"/>
    </w:rPr>
  </w:style>
  <w:style w:type="paragraph" w:styleId="ListParagraph">
    <w:name w:val="List Paragraph"/>
    <w:basedOn w:val="Normal"/>
    <w:uiPriority w:val="34"/>
    <w:qFormat/>
    <w:rsid w:val="00807758"/>
    <w:pPr>
      <w:ind w:left="720"/>
      <w:contextualSpacing/>
    </w:pPr>
  </w:style>
  <w:style w:type="paragraph" w:styleId="Quote">
    <w:name w:val="Quote"/>
    <w:basedOn w:val="Normal"/>
    <w:next w:val="Normal"/>
    <w:link w:val="QuoteChar"/>
    <w:uiPriority w:val="29"/>
    <w:qFormat/>
    <w:rsid w:val="00807758"/>
    <w:pPr>
      <w:ind w:left="851" w:right="851"/>
    </w:pPr>
    <w:rPr>
      <w:i/>
    </w:rPr>
  </w:style>
  <w:style w:type="character" w:customStyle="1" w:styleId="QuoteChar">
    <w:name w:val="Quote Char"/>
    <w:basedOn w:val="DefaultParagraphFont"/>
    <w:link w:val="Quote"/>
    <w:uiPriority w:val="29"/>
    <w:locked/>
    <w:rsid w:val="00D9025B"/>
    <w:rPr>
      <w:i/>
      <w:sz w:val="20"/>
      <w:szCs w:val="20"/>
      <w:lang w:val="en-GB"/>
    </w:rPr>
  </w:style>
  <w:style w:type="paragraph" w:styleId="IntenseQuote">
    <w:name w:val="Intense Quote"/>
    <w:basedOn w:val="Normal"/>
    <w:next w:val="Normal"/>
    <w:link w:val="IntenseQuoteChar"/>
    <w:uiPriority w:val="30"/>
    <w:qFormat/>
    <w:rsid w:val="00807758"/>
    <w:pPr>
      <w:pBdr>
        <w:top w:val="single" w:sz="8" w:space="10" w:color="1B77A1"/>
        <w:left w:val="single" w:sz="8" w:space="10" w:color="1B77A1"/>
        <w:bottom w:val="single" w:sz="8" w:space="10" w:color="1B77A1"/>
        <w:right w:val="single" w:sz="8" w:space="10" w:color="1B77A1"/>
      </w:pBdr>
      <w:shd w:val="clear" w:color="auto" w:fill="24A0D8"/>
      <w:spacing w:before="140" w:after="140"/>
      <w:ind w:left="1440" w:right="1440"/>
    </w:pPr>
    <w:rPr>
      <w:b/>
      <w:i/>
      <w:color w:val="FFFFFF"/>
    </w:rPr>
  </w:style>
  <w:style w:type="character" w:customStyle="1" w:styleId="IntenseQuoteChar">
    <w:name w:val="Intense Quote Char"/>
    <w:basedOn w:val="DefaultParagraphFont"/>
    <w:link w:val="IntenseQuote"/>
    <w:uiPriority w:val="30"/>
    <w:locked/>
    <w:rsid w:val="00FB4C21"/>
    <w:rPr>
      <w:b/>
      <w:i/>
      <w:color w:val="FFFFFF"/>
      <w:sz w:val="20"/>
      <w:szCs w:val="20"/>
      <w:shd w:val="clear" w:color="auto" w:fill="24A0D8"/>
      <w:lang w:val="en-GB"/>
    </w:rPr>
  </w:style>
  <w:style w:type="character" w:styleId="SubtleEmphasis">
    <w:name w:val="Subtle Emphasis"/>
    <w:basedOn w:val="DefaultParagraphFont"/>
    <w:uiPriority w:val="19"/>
    <w:qFormat/>
    <w:rsid w:val="00FB4C21"/>
    <w:rPr>
      <w:i/>
    </w:rPr>
  </w:style>
  <w:style w:type="character" w:styleId="IntenseEmphasis">
    <w:name w:val="Intense Emphasis"/>
    <w:basedOn w:val="DefaultParagraphFont"/>
    <w:uiPriority w:val="21"/>
    <w:qFormat/>
    <w:rsid w:val="00807758"/>
    <w:rPr>
      <w:b/>
      <w:i/>
      <w:color w:val="24A0D8"/>
      <w:spacing w:val="10"/>
    </w:rPr>
  </w:style>
  <w:style w:type="character" w:styleId="SubtleReference">
    <w:name w:val="Subtle Reference"/>
    <w:basedOn w:val="DefaultParagraphFont"/>
    <w:uiPriority w:val="31"/>
    <w:qFormat/>
    <w:rsid w:val="00FB4C21"/>
    <w:rPr>
      <w:b/>
    </w:rPr>
  </w:style>
  <w:style w:type="character" w:styleId="IntenseReference">
    <w:name w:val="Intense Reference"/>
    <w:basedOn w:val="DefaultParagraphFont"/>
    <w:uiPriority w:val="32"/>
    <w:qFormat/>
    <w:rsid w:val="00FB4C21"/>
    <w:rPr>
      <w:b/>
      <w:smallCaps/>
      <w:spacing w:val="5"/>
      <w:sz w:val="22"/>
      <w:u w:val="single"/>
    </w:rPr>
  </w:style>
  <w:style w:type="character" w:styleId="BookTitle">
    <w:name w:val="Book Title"/>
    <w:basedOn w:val="DefaultParagraphFont"/>
    <w:uiPriority w:val="33"/>
    <w:qFormat/>
    <w:rsid w:val="00807758"/>
    <w:rPr>
      <w:rFonts w:ascii="Cambria" w:hAnsi="Cambria"/>
      <w:i/>
      <w:sz w:val="20"/>
    </w:rPr>
  </w:style>
  <w:style w:type="paragraph" w:styleId="TOCHeading">
    <w:name w:val="TOC Heading"/>
    <w:basedOn w:val="Heading1"/>
    <w:next w:val="Normal"/>
    <w:uiPriority w:val="39"/>
    <w:qFormat/>
    <w:rsid w:val="00807758"/>
    <w:pPr>
      <w:outlineLvl w:val="9"/>
    </w:pPr>
  </w:style>
  <w:style w:type="character" w:styleId="Hyperlink">
    <w:name w:val="Hyperlink"/>
    <w:basedOn w:val="DefaultParagraphFont"/>
    <w:uiPriority w:val="99"/>
    <w:rsid w:val="00807758"/>
    <w:rPr>
      <w:rFonts w:cs="Times New Roman"/>
      <w:color w:val="0000FF"/>
      <w:u w:val="single"/>
    </w:rPr>
  </w:style>
  <w:style w:type="table" w:styleId="TableGrid">
    <w:name w:val="Table Grid"/>
    <w:basedOn w:val="TableNormal"/>
    <w:uiPriority w:val="59"/>
    <w:rsid w:val="00457D4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807758"/>
    <w:rPr>
      <w:rFonts w:cs="Times New Roman"/>
      <w:sz w:val="16"/>
    </w:rPr>
  </w:style>
  <w:style w:type="paragraph" w:styleId="CommentText">
    <w:name w:val="annotation text"/>
    <w:basedOn w:val="Normal"/>
    <w:link w:val="CommentTextChar"/>
    <w:uiPriority w:val="99"/>
    <w:rsid w:val="00807758"/>
    <w:pPr>
      <w:spacing w:line="240" w:lineRule="auto"/>
    </w:pPr>
  </w:style>
  <w:style w:type="character" w:customStyle="1" w:styleId="CommentTextChar">
    <w:name w:val="Comment Text Char"/>
    <w:basedOn w:val="DefaultParagraphFont"/>
    <w:link w:val="CommentText"/>
    <w:uiPriority w:val="99"/>
    <w:locked/>
    <w:rsid w:val="009E200E"/>
    <w:rPr>
      <w:sz w:val="20"/>
      <w:szCs w:val="20"/>
      <w:lang w:val="en-GB"/>
    </w:rPr>
  </w:style>
  <w:style w:type="paragraph" w:styleId="CommentSubject">
    <w:name w:val="annotation subject"/>
    <w:basedOn w:val="CommentText"/>
    <w:next w:val="CommentText"/>
    <w:link w:val="CommentSubjectChar"/>
    <w:uiPriority w:val="99"/>
    <w:semiHidden/>
    <w:rsid w:val="00807758"/>
    <w:rPr>
      <w:b/>
      <w:bCs/>
    </w:rPr>
  </w:style>
  <w:style w:type="character" w:customStyle="1" w:styleId="CommentSubjectChar">
    <w:name w:val="Comment Subject Char"/>
    <w:basedOn w:val="CommentTextChar"/>
    <w:link w:val="CommentSubject"/>
    <w:uiPriority w:val="99"/>
    <w:semiHidden/>
    <w:locked/>
    <w:rsid w:val="009E200E"/>
    <w:rPr>
      <w:b/>
      <w:bCs/>
      <w:sz w:val="20"/>
      <w:szCs w:val="20"/>
      <w:lang w:val="en-GB"/>
    </w:rPr>
  </w:style>
  <w:style w:type="paragraph" w:styleId="BalloonText">
    <w:name w:val="Balloon Text"/>
    <w:basedOn w:val="Normal"/>
    <w:link w:val="BalloonTextChar"/>
    <w:uiPriority w:val="99"/>
    <w:semiHidden/>
    <w:rsid w:val="00807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200E"/>
    <w:rPr>
      <w:rFonts w:ascii="Tahoma" w:hAnsi="Tahoma" w:cs="Tahoma"/>
      <w:sz w:val="16"/>
      <w:szCs w:val="16"/>
      <w:lang w:val="en-GB"/>
    </w:rPr>
  </w:style>
  <w:style w:type="paragraph" w:styleId="FootnoteText">
    <w:name w:val="footnote text"/>
    <w:basedOn w:val="Normal"/>
    <w:link w:val="FootnoteTextChar"/>
    <w:uiPriority w:val="99"/>
    <w:semiHidden/>
    <w:rsid w:val="00807758"/>
    <w:pPr>
      <w:spacing w:after="0" w:line="240" w:lineRule="auto"/>
    </w:pPr>
  </w:style>
  <w:style w:type="character" w:customStyle="1" w:styleId="FootnoteTextChar">
    <w:name w:val="Footnote Text Char"/>
    <w:basedOn w:val="DefaultParagraphFont"/>
    <w:link w:val="FootnoteText"/>
    <w:uiPriority w:val="99"/>
    <w:semiHidden/>
    <w:locked/>
    <w:rsid w:val="009E200E"/>
    <w:rPr>
      <w:sz w:val="20"/>
      <w:szCs w:val="20"/>
      <w:lang w:val="en-GB"/>
    </w:rPr>
  </w:style>
  <w:style w:type="character" w:styleId="FootnoteReference">
    <w:name w:val="footnote reference"/>
    <w:basedOn w:val="DefaultParagraphFont"/>
    <w:uiPriority w:val="99"/>
    <w:semiHidden/>
    <w:rsid w:val="00807758"/>
    <w:rPr>
      <w:rFonts w:cs="Times New Roman"/>
      <w:vertAlign w:val="superscript"/>
    </w:rPr>
  </w:style>
  <w:style w:type="paragraph" w:styleId="Revision">
    <w:name w:val="Revision"/>
    <w:hidden/>
    <w:uiPriority w:val="99"/>
    <w:semiHidden/>
    <w:rsid w:val="00807758"/>
    <w:rPr>
      <w:sz w:val="20"/>
      <w:szCs w:val="20"/>
      <w:lang w:val="en-GB"/>
    </w:rPr>
  </w:style>
  <w:style w:type="character" w:styleId="LineNumber">
    <w:name w:val="line number"/>
    <w:basedOn w:val="DefaultParagraphFont"/>
    <w:uiPriority w:val="99"/>
    <w:semiHidden/>
    <w:rsid w:val="00807758"/>
    <w:rPr>
      <w:rFonts w:cs="Times New Roman"/>
    </w:rPr>
  </w:style>
  <w:style w:type="paragraph" w:styleId="Header">
    <w:name w:val="header"/>
    <w:basedOn w:val="Normal"/>
    <w:link w:val="HeaderChar"/>
    <w:uiPriority w:val="99"/>
    <w:rsid w:val="0080775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177A6"/>
    <w:rPr>
      <w:sz w:val="20"/>
      <w:szCs w:val="20"/>
      <w:lang w:val="en-GB"/>
    </w:rPr>
  </w:style>
  <w:style w:type="paragraph" w:styleId="Footer">
    <w:name w:val="footer"/>
    <w:basedOn w:val="Normal"/>
    <w:link w:val="FooterChar"/>
    <w:uiPriority w:val="99"/>
    <w:rsid w:val="0080775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177A6"/>
    <w:rPr>
      <w:sz w:val="20"/>
      <w:szCs w:val="20"/>
      <w:lang w:val="en-GB"/>
    </w:rPr>
  </w:style>
  <w:style w:type="character" w:styleId="FollowedHyperlink">
    <w:name w:val="FollowedHyperlink"/>
    <w:basedOn w:val="DefaultParagraphFont"/>
    <w:uiPriority w:val="99"/>
    <w:semiHidden/>
    <w:unhideWhenUsed/>
    <w:rsid w:val="00C95139"/>
    <w:rPr>
      <w:color w:val="800080" w:themeColor="followedHyperlink"/>
      <w:u w:val="single"/>
    </w:rPr>
  </w:style>
  <w:style w:type="table" w:styleId="LightShading">
    <w:name w:val="Light Shading"/>
    <w:basedOn w:val="TableNormal"/>
    <w:uiPriority w:val="60"/>
    <w:rsid w:val="008D6B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basedOn w:val="DefaultParagraphFont"/>
    <w:uiPriority w:val="99"/>
    <w:semiHidden/>
    <w:unhideWhenUsed/>
    <w:rsid w:val="005D17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91240">
      <w:bodyDiv w:val="1"/>
      <w:marLeft w:val="0"/>
      <w:marRight w:val="0"/>
      <w:marTop w:val="0"/>
      <w:marBottom w:val="0"/>
      <w:divBdr>
        <w:top w:val="none" w:sz="0" w:space="0" w:color="auto"/>
        <w:left w:val="none" w:sz="0" w:space="0" w:color="auto"/>
        <w:bottom w:val="none" w:sz="0" w:space="0" w:color="auto"/>
        <w:right w:val="none" w:sz="0" w:space="0" w:color="auto"/>
      </w:divBdr>
    </w:div>
    <w:div w:id="659501074">
      <w:bodyDiv w:val="1"/>
      <w:marLeft w:val="0"/>
      <w:marRight w:val="0"/>
      <w:marTop w:val="0"/>
      <w:marBottom w:val="0"/>
      <w:divBdr>
        <w:top w:val="none" w:sz="0" w:space="0" w:color="auto"/>
        <w:left w:val="none" w:sz="0" w:space="0" w:color="auto"/>
        <w:bottom w:val="none" w:sz="0" w:space="0" w:color="auto"/>
        <w:right w:val="none" w:sz="0" w:space="0" w:color="auto"/>
      </w:divBdr>
    </w:div>
    <w:div w:id="845170342">
      <w:marLeft w:val="0"/>
      <w:marRight w:val="0"/>
      <w:marTop w:val="0"/>
      <w:marBottom w:val="0"/>
      <w:divBdr>
        <w:top w:val="none" w:sz="0" w:space="0" w:color="auto"/>
        <w:left w:val="none" w:sz="0" w:space="0" w:color="auto"/>
        <w:bottom w:val="none" w:sz="0" w:space="0" w:color="auto"/>
        <w:right w:val="none" w:sz="0" w:space="0" w:color="auto"/>
      </w:divBdr>
    </w:div>
    <w:div w:id="845170343">
      <w:marLeft w:val="0"/>
      <w:marRight w:val="0"/>
      <w:marTop w:val="0"/>
      <w:marBottom w:val="0"/>
      <w:divBdr>
        <w:top w:val="none" w:sz="0" w:space="0" w:color="auto"/>
        <w:left w:val="none" w:sz="0" w:space="0" w:color="auto"/>
        <w:bottom w:val="none" w:sz="0" w:space="0" w:color="auto"/>
        <w:right w:val="none" w:sz="0" w:space="0" w:color="auto"/>
      </w:divBdr>
    </w:div>
    <w:div w:id="1109398198">
      <w:bodyDiv w:val="1"/>
      <w:marLeft w:val="0"/>
      <w:marRight w:val="0"/>
      <w:marTop w:val="0"/>
      <w:marBottom w:val="0"/>
      <w:divBdr>
        <w:top w:val="none" w:sz="0" w:space="0" w:color="auto"/>
        <w:left w:val="none" w:sz="0" w:space="0" w:color="auto"/>
        <w:bottom w:val="none" w:sz="0" w:space="0" w:color="auto"/>
        <w:right w:val="none" w:sz="0" w:space="0" w:color="auto"/>
      </w:divBdr>
    </w:div>
    <w:div w:id="1227449286">
      <w:bodyDiv w:val="1"/>
      <w:marLeft w:val="0"/>
      <w:marRight w:val="0"/>
      <w:marTop w:val="0"/>
      <w:marBottom w:val="0"/>
      <w:divBdr>
        <w:top w:val="none" w:sz="0" w:space="0" w:color="auto"/>
        <w:left w:val="none" w:sz="0" w:space="0" w:color="auto"/>
        <w:bottom w:val="none" w:sz="0" w:space="0" w:color="auto"/>
        <w:right w:val="none" w:sz="0" w:space="0" w:color="auto"/>
      </w:divBdr>
    </w:div>
    <w:div w:id="149332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tn.redmud.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63222A6-6655-45F1-8CF6-6F7481A4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24</Pages>
  <Words>43540</Words>
  <Characters>248184</Characters>
  <Application>Microsoft Office Word</Application>
  <DocSecurity>0</DocSecurity>
  <Lines>2068</Lines>
  <Paragraphs>582</Paragraphs>
  <ScaleCrop>false</ScaleCrop>
  <HeadingPairs>
    <vt:vector size="2" baseType="variant">
      <vt:variant>
        <vt:lpstr>Title</vt:lpstr>
      </vt:variant>
      <vt:variant>
        <vt:i4>1</vt:i4>
      </vt:variant>
    </vt:vector>
  </HeadingPairs>
  <TitlesOfParts>
    <vt:vector size="1" baseType="lpstr">
      <vt:lpstr>IDENTIFYING HOTSPOTS OF ENVIRONMENTAL IMPACT IN THE DEVELOPMENT OF NOVEL INORGANIC POLYMER PAVING BLOCKS FROM BAUXITE RESIDUE</vt:lpstr>
    </vt:vector>
  </TitlesOfParts>
  <Company>Kungliga Tekniska Högskolan</Company>
  <LinksUpToDate>false</LinksUpToDate>
  <CharactersWithSpaces>291142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HOTSPOTS OF ENVIRONMENTAL IMPACT IN THE DEVELOPMENT OF NOVEL INORGANIC POLYMER PAVING BLOCKS FROM BAUXITE RESIDUE</dc:title>
  <dc:creator>Peter James Joyce</dc:creator>
  <cp:lastModifiedBy>Peter James Joyce</cp:lastModifiedBy>
  <cp:revision>4</cp:revision>
  <cp:lastPrinted>2018-07-11T07:33:00Z</cp:lastPrinted>
  <dcterms:created xsi:type="dcterms:W3CDTF">2018-07-11T07:32:00Z</dcterms:created>
  <dcterms:modified xsi:type="dcterms:W3CDTF">2018-07-11T10:39:00Z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http://csl.mendeley.com/styles/291339251/biology-letters-JJ</vt:lpwstr>
  </property>
  <property fmtid="{D5CDD505-2E9C-101B-9397-08002B2CF9AE}" pid="5" name="Mendeley Recent Style Name 1_1">
    <vt:lpwstr>Biology Letters - JJ update</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http://www.zotero.org/styles/ecological-economics</vt:lpwstr>
  </property>
  <property fmtid="{D5CDD505-2E9C-101B-9397-08002B2CF9AE}" pid="9" name="Mendeley Recent Style Name 3_1">
    <vt:lpwstr>Ecological Economics</vt:lpwstr>
  </property>
  <property fmtid="{D5CDD505-2E9C-101B-9397-08002B2CF9AE}" pid="10" name="Mendeley Recent Style Id 4_1">
    <vt:lpwstr>http://www.zotero.org/styles/environmental-modelling-and-software</vt:lpwstr>
  </property>
  <property fmtid="{D5CDD505-2E9C-101B-9397-08002B2CF9AE}" pid="11" name="Mendeley Recent Style Name 4_1">
    <vt:lpwstr>Environmental Modelling and Software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http://www.zotero.org/styles/journal-of-sustainable-metallurgy</vt:lpwstr>
  </property>
  <property fmtid="{D5CDD505-2E9C-101B-9397-08002B2CF9AE}" pid="15" name="Mendeley Recent Style Name 6_1">
    <vt:lpwstr>Journal of Sustainable Metallurgy</vt:lpwstr>
  </property>
  <property fmtid="{D5CDD505-2E9C-101B-9397-08002B2CF9AE}" pid="16" name="Mendeley Recent Style Id 7_1">
    <vt:lpwstr>http://www.zotero.org/styles/resources-conservation-and-recycling</vt:lpwstr>
  </property>
  <property fmtid="{D5CDD505-2E9C-101B-9397-08002B2CF9AE}" pid="17" name="Mendeley Recent Style Name 7_1">
    <vt:lpwstr>Resources, Conservation &amp; Recycling</vt:lpwstr>
  </property>
  <property fmtid="{D5CDD505-2E9C-101B-9397-08002B2CF9AE}" pid="18" name="Mendeley Recent Style Id 8_1">
    <vt:lpwstr>http://www.zotero.org/styles/springer-basic-author-date</vt:lpwstr>
  </property>
  <property fmtid="{D5CDD505-2E9C-101B-9397-08002B2CF9AE}" pid="19" name="Mendeley Recent Style Name 8_1">
    <vt:lpwstr>Springer Basic (author-date)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ff58fbbf-f160-37d3-b6e6-def57c67bfd9</vt:lpwstr>
  </property>
  <property fmtid="{D5CDD505-2E9C-101B-9397-08002B2CF9AE}" pid="24" name="Mendeley Citation Style_1">
    <vt:lpwstr>http://www.zotero.org/styles/environmental-modelling-and-software</vt:lpwstr>
  </property>
</Properties>
</file>