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EA211" w14:textId="1B46D39C" w:rsidR="00F62C8B" w:rsidRPr="00270DD5" w:rsidRDefault="000F3A41" w:rsidP="004C531E">
      <w:pPr>
        <w:pStyle w:val="RSCM01ReceivedAccepted"/>
      </w:pPr>
      <w:r w:rsidRPr="00270DD5">
        <w:rPr>
          <w:lang w:val="en-US" w:eastAsia="en-US"/>
        </w:rPr>
        <mc:AlternateContent>
          <mc:Choice Requires="wps">
            <w:drawing>
              <wp:anchor distT="180340" distB="0" distL="114300" distR="114300" simplePos="0" relativeHeight="251662336" behindDoc="1" locked="1" layoutInCell="0" allowOverlap="0" wp14:anchorId="082B588E" wp14:editId="24AE2C06">
                <wp:simplePos x="0" y="0"/>
                <wp:positionH relativeFrom="margin">
                  <wp:posOffset>0</wp:posOffset>
                </wp:positionH>
                <wp:positionV relativeFrom="margin">
                  <wp:align>bottom</wp:align>
                </wp:positionV>
                <wp:extent cx="3157200" cy="1626840"/>
                <wp:effectExtent l="0" t="0" r="5715"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7200" cy="1626840"/>
                        </a:xfrm>
                        <a:prstGeom prst="rect">
                          <a:avLst/>
                        </a:prstGeom>
                        <a:solidFill>
                          <a:srgbClr val="FFFFFF"/>
                        </a:solidFill>
                        <a:ln w="9525">
                          <a:noFill/>
                          <a:miter lim="800000"/>
                          <a:headEnd/>
                          <a:tailEnd/>
                        </a:ln>
                      </wps:spPr>
                      <wps:txbx>
                        <w:txbxContent>
                          <w:p w14:paraId="3284D0C9" w14:textId="77777777" w:rsidR="00D865C7" w:rsidRPr="00C405FD" w:rsidRDefault="00D865C7" w:rsidP="00251EDB">
                            <w:pPr>
                              <w:pStyle w:val="RSCF01FootnoteAuthorAddress"/>
                            </w:pPr>
                            <w:r w:rsidRPr="008F5B2D">
                              <w:t xml:space="preserve">KU Leuven, </w:t>
                            </w:r>
                            <w:r w:rsidRPr="00A31655">
                              <w:t>Department of Chemistry, Celestijnenlaan 200F - P.O. Box</w:t>
                            </w:r>
                            <w:r>
                              <w:t xml:space="preserve"> 2404, B-3001 Leuven, Belgium</w:t>
                            </w:r>
                            <w:r w:rsidRPr="00C405FD">
                              <w:t>.</w:t>
                            </w:r>
                            <w:r>
                              <w:t xml:space="preserve"> E-mail: </w:t>
                            </w:r>
                            <w:r w:rsidRPr="008F5B2D">
                              <w:t>wim.dehaen@kuleuven.be</w:t>
                            </w:r>
                          </w:p>
                          <w:p w14:paraId="2C4A78D3" w14:textId="77777777" w:rsidR="00D865C7" w:rsidRPr="00241ACD" w:rsidRDefault="00D865C7" w:rsidP="00251EDB">
                            <w:pPr>
                              <w:pStyle w:val="RSCF01FootnoteAuthorAddress"/>
                              <w:numPr>
                                <w:ilvl w:val="0"/>
                                <w:numId w:val="0"/>
                              </w:numPr>
                            </w:pPr>
                            <w:r>
                              <w:t>*</w:t>
                            </w:r>
                            <w:r w:rsidRPr="00241ACD">
                              <w:t xml:space="preserve"> </w:t>
                            </w:r>
                            <w:r>
                              <w:t>Corresponding author</w:t>
                            </w:r>
                            <w:r w:rsidRPr="00241ACD">
                              <w:t xml:space="preserve">. </w:t>
                            </w:r>
                          </w:p>
                          <w:p w14:paraId="400A0D45" w14:textId="2F32EC6B" w:rsidR="00D865C7" w:rsidRPr="00241ACD" w:rsidRDefault="00D865C7" w:rsidP="00251EDB">
                            <w:pPr>
                              <w:pStyle w:val="RSCF02FootnotestoTitleAuthors"/>
                            </w:pPr>
                            <w:r w:rsidRPr="00251EDB">
                              <w:t>materials, equipment specifications, and substances characterization are available within supporting information. DOI: 10.1039/x0</w:t>
                            </w:r>
                            <w:r>
                              <w:t xml:space="preserve"> </w:t>
                            </w:r>
                            <w:r w:rsidRPr="00251EDB">
                              <w:t>xx00000</w:t>
                            </w:r>
                            <w:r>
                              <w:t xml:space="preserve"> </w:t>
                            </w:r>
                            <w:r w:rsidRPr="00251EDB">
                              <w:t>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82B588E" id="_x0000_t202" coordsize="21600,21600" o:spt="202" path="m,l,21600r21600,l21600,xe">
                <v:stroke joinstyle="miter"/>
                <v:path gradientshapeok="t" o:connecttype="rect"/>
              </v:shapetype>
              <v:shape id="Text Box 2" o:spid="_x0000_s1026" type="#_x0000_t202" style="position:absolute;margin-left:0;margin-top:0;width:248.6pt;height:128.1pt;z-index:-251654144;visibility:visible;mso-wrap-style:square;mso-width-percent:0;mso-height-percent:200;mso-wrap-distance-left:9pt;mso-wrap-distance-top:14.2pt;mso-wrap-distance-right:9pt;mso-wrap-distance-bottom:0;mso-position-horizontal:absolute;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QIQIAACcEAAAOAAAAZHJzL2Uyb0RvYy54bWysU9uO2yAQfa/Uf0C8N06yTTa1QlbbbFNV&#10;2l6k3X4AxjhGBYYCiZ1+/Q44N23fqvoBwTA+c+bMYXnXG0320gcFltHJaEyJtAJqZbeM/nzevFtQ&#10;EiK3NddgJaMHGejd6u2bZedKOYUWdC09QRAbys4x2sboyqIIopWGhxE4afGyAW94xKPfFrXnHaIb&#10;XUzH43nRga+dByFDwOjDcElXGb9ppIjfmybISDSjyC3m1ee1SmuxWvJy67lrlTjS4P/AwnBlsegZ&#10;6oFHTnZe/QVllPAQoIkjAaaAplFC5h6wm8n4VTdPLXcy94LiBHeWKfw/WPFt/8MTVTN6S4nlBkf0&#10;LPtIPkJPpkmdzoUSk54cpsUewzjl3GlwjyB+BWJh3XK7lffBodrp9hLyHrpW8hoJTxJYcYU2QIeE&#10;W3VfocbKfBchY/eNN0lN1IdgQRzc4TysxE5g8GYyu0UHUCLwbjKfzhfv8zgLXp5+dz7EzxIMSRtG&#10;PfLL8Hz/GGKiw8tTSqoWQKt6o7TOB7+t1tqTPUfnbPKXO3iVpi3pGP0wm84ysoX0fzaVURGdrZVh&#10;dDFO3+C1JMcnW+eUyJUe9shE26M+SZJBnNhXPSYm0SqoD6iUh8HB+OJw04L/Q0mH7mU0/N5xLynR&#10;XyyqnayeNzfzVJn4U7S6jnIrEILRipJhu475aeT+3T1OY6OyThcGR47oxizf8eUku1+fc9blfa9e&#10;AAAA//8DAFBLAwQUAAYACAAAACEAes5DWt0AAAAFAQAADwAAAGRycy9kb3ducmV2LnhtbEyPUUvD&#10;QBCE3wX/w7GCL9JeDJraNJciQi1YKbX6Aza5NQnm9mLuksZ/7+mLviwMM8x8m60n04qRetdYVnA9&#10;j0AQl1Y3XCl4e93M7kA4j6yxtUwKvsjBOj8/yzDV9sQvNB59JUIJuxQV1N53qZSurMmgm9uOOHjv&#10;tjfog+wrqXs8hXLTyjiKEmmw4bBQY0cPNZUfx8EoeBx3krb7g8Tos0g22wHt1fOTUpcX0/0KhKfJ&#10;/4XhBz+gQx6YCjuwdqJVEB7xvzd4N8tFDKJQEN8mMcg8k//p828AAAD//wMAUEsBAi0AFAAGAAgA&#10;AAAhALaDOJL+AAAA4QEAABMAAAAAAAAAAAAAAAAAAAAAAFtDb250ZW50X1R5cGVzXS54bWxQSwEC&#10;LQAUAAYACAAAACEAOP0h/9YAAACUAQAACwAAAAAAAAAAAAAAAAAvAQAAX3JlbHMvLnJlbHNQSwEC&#10;LQAUAAYACAAAACEAGDWP0CECAAAnBAAADgAAAAAAAAAAAAAAAAAuAgAAZHJzL2Uyb0RvYy54bWxQ&#10;SwECLQAUAAYACAAAACEAes5DWt0AAAAFAQAADwAAAAAAAAAAAAAAAAB7BAAAZHJzL2Rvd25yZXYu&#10;eG1sUEsFBgAAAAAEAAQA8wAAAIUFAAAAAA==&#10;" o:allowincell="f" o:allowoverlap="f" stroked="f">
                <o:lock v:ext="edit" aspectratio="t"/>
                <v:textbox style="mso-fit-shape-to-text:t" inset="0,1mm,0,1mm">
                  <w:txbxContent>
                    <w:p w14:paraId="3284D0C9" w14:textId="77777777" w:rsidR="00D865C7" w:rsidRPr="00C405FD" w:rsidRDefault="00D865C7" w:rsidP="00251EDB">
                      <w:pPr>
                        <w:pStyle w:val="RSCF01FootnoteAuthorAddress"/>
                      </w:pPr>
                      <w:r w:rsidRPr="008F5B2D">
                        <w:t xml:space="preserve">KU Leuven, </w:t>
                      </w:r>
                      <w:r w:rsidRPr="00A31655">
                        <w:t xml:space="preserve">Department of Chemistry, </w:t>
                      </w:r>
                      <w:proofErr w:type="spellStart"/>
                      <w:r w:rsidRPr="00A31655">
                        <w:t>Celestijnenlaan</w:t>
                      </w:r>
                      <w:proofErr w:type="spellEnd"/>
                      <w:r w:rsidRPr="00A31655">
                        <w:t xml:space="preserve"> 200F - P.O. Box</w:t>
                      </w:r>
                      <w:r>
                        <w:t xml:space="preserve"> 2404, B-3001 Leuven, Belgium</w:t>
                      </w:r>
                      <w:r w:rsidRPr="00C405FD">
                        <w:t>.</w:t>
                      </w:r>
                      <w:r>
                        <w:t xml:space="preserve"> E-mail: </w:t>
                      </w:r>
                      <w:r w:rsidRPr="008F5B2D">
                        <w:t>wim.dehaen@kuleuven.be</w:t>
                      </w:r>
                    </w:p>
                    <w:p w14:paraId="2C4A78D3" w14:textId="77777777" w:rsidR="00D865C7" w:rsidRPr="00241ACD" w:rsidRDefault="00D865C7" w:rsidP="00251EDB">
                      <w:pPr>
                        <w:pStyle w:val="RSCF01FootnoteAuthorAddress"/>
                        <w:numPr>
                          <w:ilvl w:val="0"/>
                          <w:numId w:val="0"/>
                        </w:numPr>
                      </w:pPr>
                      <w:r>
                        <w:t>*</w:t>
                      </w:r>
                      <w:r w:rsidRPr="00241ACD">
                        <w:t xml:space="preserve"> </w:t>
                      </w:r>
                      <w:r>
                        <w:t>Corresponding author</w:t>
                      </w:r>
                      <w:r w:rsidRPr="00241ACD">
                        <w:t xml:space="preserve">. </w:t>
                      </w:r>
                    </w:p>
                    <w:p w14:paraId="400A0D45" w14:textId="2F32EC6B" w:rsidR="00D865C7" w:rsidRPr="00241ACD" w:rsidRDefault="00D865C7" w:rsidP="00251EDB">
                      <w:pPr>
                        <w:pStyle w:val="RSCF02FootnotestoTitleAuthors"/>
                      </w:pPr>
                      <w:r w:rsidRPr="00251EDB">
                        <w:t>materials, equipment specifications, and substances characterization are available within supporting information. DOI: 10.1039/x0</w:t>
                      </w:r>
                      <w:r>
                        <w:t xml:space="preserve"> </w:t>
                      </w:r>
                      <w:r w:rsidRPr="00251EDB">
                        <w:t>xx00000</w:t>
                      </w:r>
                      <w:r>
                        <w:t xml:space="preserve"> </w:t>
                      </w:r>
                      <w:r w:rsidRPr="00251EDB">
                        <w:t>x</w:t>
                      </w:r>
                    </w:p>
                  </w:txbxContent>
                </v:textbox>
                <w10:wrap type="topAndBottom" anchorx="margin" anchory="margin"/>
                <w10:anchorlock/>
              </v:shape>
            </w:pict>
          </mc:Fallback>
        </mc:AlternateContent>
      </w:r>
      <w:r w:rsidR="00F62C8B" w:rsidRPr="00270DD5">
        <w:t>Received 0</w:t>
      </w:r>
      <w:r w:rsidR="009A3BB0" w:rsidRPr="00270DD5">
        <w:t>0</w:t>
      </w:r>
      <w:r w:rsidR="009A3BB0">
        <w:t xml:space="preserve"> </w:t>
      </w:r>
      <w:r w:rsidR="009A3BB0" w:rsidRPr="00270DD5">
        <w:t>t</w:t>
      </w:r>
      <w:r w:rsidR="00F62C8B" w:rsidRPr="00270DD5">
        <w:t>h January 2</w:t>
      </w:r>
      <w:r w:rsidR="009A3BB0" w:rsidRPr="00270DD5">
        <w:t>0</w:t>
      </w:r>
      <w:r w:rsidR="009A3BB0">
        <w:t xml:space="preserve"> </w:t>
      </w:r>
      <w:r w:rsidR="009A3BB0" w:rsidRPr="00270DD5">
        <w:t>x</w:t>
      </w:r>
      <w:r w:rsidR="00F15F90" w:rsidRPr="00270DD5">
        <w:t>x</w:t>
      </w:r>
      <w:r w:rsidR="00F62C8B" w:rsidRPr="00270DD5">
        <w:t>,</w:t>
      </w:r>
    </w:p>
    <w:p w14:paraId="0C3C3408" w14:textId="2B9378E5" w:rsidR="00F62C8B" w:rsidRPr="00270DD5" w:rsidRDefault="00F62C8B" w:rsidP="004C531E">
      <w:pPr>
        <w:pStyle w:val="RSCM01ReceivedAccepted"/>
      </w:pPr>
      <w:r w:rsidRPr="00270DD5">
        <w:t>Accepted 0</w:t>
      </w:r>
      <w:r w:rsidR="009A3BB0" w:rsidRPr="00270DD5">
        <w:t>0</w:t>
      </w:r>
      <w:r w:rsidR="009A3BB0">
        <w:t xml:space="preserve"> </w:t>
      </w:r>
      <w:r w:rsidR="009A3BB0" w:rsidRPr="00270DD5">
        <w:t>t</w:t>
      </w:r>
      <w:r w:rsidRPr="00270DD5">
        <w:t>h January 2</w:t>
      </w:r>
      <w:r w:rsidR="009A3BB0" w:rsidRPr="00270DD5">
        <w:t>0</w:t>
      </w:r>
      <w:r w:rsidR="009A3BB0">
        <w:t xml:space="preserve"> </w:t>
      </w:r>
      <w:r w:rsidR="009A3BB0" w:rsidRPr="00270DD5">
        <w:t>x</w:t>
      </w:r>
      <w:r w:rsidR="00F15F90" w:rsidRPr="00270DD5">
        <w:t>x</w:t>
      </w:r>
    </w:p>
    <w:p w14:paraId="7CA4BFD0" w14:textId="3DD4024C" w:rsidR="00F62C8B" w:rsidRPr="0029575B" w:rsidRDefault="00F62C8B" w:rsidP="004C531E">
      <w:pPr>
        <w:pStyle w:val="RSCM02DOI"/>
        <w:rPr>
          <w:lang w:val="fr-BE"/>
        </w:rPr>
      </w:pPr>
      <w:r w:rsidRPr="0029575B">
        <w:rPr>
          <w:lang w:val="fr-BE"/>
        </w:rPr>
        <w:t>DOI: 10.1039/x</w:t>
      </w:r>
      <w:r w:rsidR="009A3BB0" w:rsidRPr="0029575B">
        <w:rPr>
          <w:lang w:val="fr-BE"/>
        </w:rPr>
        <w:t>0 x</w:t>
      </w:r>
      <w:r w:rsidRPr="0029575B">
        <w:rPr>
          <w:lang w:val="fr-BE"/>
        </w:rPr>
        <w:t>x0000</w:t>
      </w:r>
      <w:r w:rsidR="009A3BB0" w:rsidRPr="0029575B">
        <w:rPr>
          <w:lang w:val="fr-BE"/>
        </w:rPr>
        <w:t>0 x</w:t>
      </w:r>
    </w:p>
    <w:p w14:paraId="575F9582" w14:textId="77777777" w:rsidR="00A9649E" w:rsidRPr="0029575B" w:rsidRDefault="00A9649E" w:rsidP="004C531E">
      <w:pPr>
        <w:pStyle w:val="RSCM03Website"/>
        <w:rPr>
          <w:lang w:val="fr-BE"/>
        </w:rPr>
      </w:pPr>
      <w:r w:rsidRPr="0029575B">
        <w:rPr>
          <w:lang w:val="fr-BE"/>
        </w:rPr>
        <w:t>www.rsc.org/</w:t>
      </w:r>
    </w:p>
    <w:p w14:paraId="08F77B50" w14:textId="41174205" w:rsidR="004414A5" w:rsidRPr="00C32EDF" w:rsidRDefault="00F62C8B" w:rsidP="00C32EDF">
      <w:pPr>
        <w:pStyle w:val="RSCH01PaperTitle"/>
      </w:pPr>
      <w:r w:rsidRPr="00346C6E">
        <w:rPr>
          <w:lang w:val="en-US"/>
        </w:rPr>
        <w:br w:type="column"/>
      </w:r>
      <w:r w:rsidR="00C61A9E">
        <w:t>One-pot synthesis of</w:t>
      </w:r>
      <w:r w:rsidR="00654FFB">
        <w:t xml:space="preserve"> symmetric</w:t>
      </w:r>
      <w:r w:rsidR="00C61A9E">
        <w:t xml:space="preserve"> </w:t>
      </w:r>
      <w:r w:rsidR="00654FFB">
        <w:t>imidazolium ionic liquid</w:t>
      </w:r>
      <w:r w:rsidR="00C61A9E">
        <w:t>s</w:t>
      </w:r>
      <w:r w:rsidR="00B53A79" w:rsidRPr="00B53A79">
        <w:t xml:space="preserve"> N,N-disubstituted with long alkyl chains</w:t>
      </w:r>
      <w:r w:rsidR="00E65E65" w:rsidRPr="00CC3112">
        <w:rPr>
          <w:rFonts w:cstheme="minorHAnsi"/>
          <w:vertAlign w:val="superscript"/>
        </w:rPr>
        <w:t>‡</w:t>
      </w:r>
    </w:p>
    <w:p w14:paraId="194272CC" w14:textId="1DB08880" w:rsidR="00FA2DA2" w:rsidRPr="00F94651" w:rsidRDefault="00251EDB" w:rsidP="00F21465">
      <w:pPr>
        <w:pStyle w:val="RSCH02PaperAuthorsandByline"/>
        <w:rPr>
          <w:vertAlign w:val="superscript"/>
        </w:rPr>
      </w:pPr>
      <w:r w:rsidRPr="00F94651">
        <w:t>Giacomo Damilano</w:t>
      </w:r>
      <w:r w:rsidR="00BB0A70" w:rsidRPr="00F94651">
        <w:rPr>
          <w:vertAlign w:val="superscript"/>
        </w:rPr>
        <w:t>a</w:t>
      </w:r>
      <w:r w:rsidR="00CC7C64" w:rsidRPr="00F94651">
        <w:t xml:space="preserve">, </w:t>
      </w:r>
      <w:r w:rsidR="00FA7E9F" w:rsidRPr="00F94651">
        <w:t>Demian Kalebić</w:t>
      </w:r>
      <w:r w:rsidR="00FA7E9F" w:rsidRPr="00F94651">
        <w:rPr>
          <w:vertAlign w:val="superscript"/>
        </w:rPr>
        <w:t>a</w:t>
      </w:r>
      <w:r w:rsidR="00FA7E9F" w:rsidRPr="00F94651">
        <w:t xml:space="preserve">, </w:t>
      </w:r>
      <w:r w:rsidR="006565D6" w:rsidRPr="00F94651">
        <w:t>Koen Bin</w:t>
      </w:r>
      <w:r w:rsidR="00F13B21" w:rsidRPr="00F94651">
        <w:t>n</w:t>
      </w:r>
      <w:r w:rsidR="006565D6" w:rsidRPr="00F94651">
        <w:t>emans</w:t>
      </w:r>
      <w:r w:rsidR="006565D6" w:rsidRPr="00F94651">
        <w:rPr>
          <w:vertAlign w:val="superscript"/>
        </w:rPr>
        <w:t>a</w:t>
      </w:r>
      <w:r w:rsidR="00FA7E9F" w:rsidRPr="00F94651">
        <w:t>,</w:t>
      </w:r>
      <w:r w:rsidR="006565D6" w:rsidRPr="00F94651">
        <w:t xml:space="preserve"> and </w:t>
      </w:r>
      <w:r w:rsidRPr="00F94651">
        <w:t>Wim Dehaen</w:t>
      </w:r>
      <w:r w:rsidRPr="00F94651">
        <w:rPr>
          <w:vertAlign w:val="superscript"/>
        </w:rPr>
        <w:t>a</w:t>
      </w:r>
      <w:r w:rsidRPr="00F94651">
        <w:t>*</w:t>
      </w:r>
    </w:p>
    <w:p w14:paraId="33F06432" w14:textId="260BB087" w:rsidR="003619A4" w:rsidRPr="003619A4" w:rsidRDefault="009E04FA" w:rsidP="003619A4">
      <w:pPr>
        <w:rPr>
          <w:noProof/>
          <w:sz w:val="16"/>
          <w:lang w:eastAsia="en-GB"/>
        </w:rPr>
      </w:pPr>
      <w:r>
        <w:rPr>
          <w:noProof/>
          <w:sz w:val="16"/>
          <w:lang w:eastAsia="en-GB"/>
        </w:rPr>
        <w:t>T</w:t>
      </w:r>
      <w:r w:rsidR="003619A4" w:rsidRPr="003619A4">
        <w:rPr>
          <w:noProof/>
          <w:sz w:val="16"/>
          <w:lang w:eastAsia="en-GB"/>
        </w:rPr>
        <w:t>he Debus</w:t>
      </w:r>
      <w:r w:rsidR="00C53821">
        <w:rPr>
          <w:noProof/>
        </w:rPr>
        <w:sym w:font="Symbol" w:char="F02D"/>
      </w:r>
      <w:r w:rsidR="003619A4" w:rsidRPr="003619A4">
        <w:rPr>
          <w:noProof/>
          <w:sz w:val="16"/>
          <w:lang w:eastAsia="en-GB"/>
        </w:rPr>
        <w:t>Radziszewski imidazole synthesis was adapted to yield directly long-chain imidazolium ionic liquids. Imidazolium acetate ionic liquids with side-chains up to sixteen carbon</w:t>
      </w:r>
      <w:r>
        <w:rPr>
          <w:noProof/>
          <w:sz w:val="16"/>
          <w:lang w:eastAsia="en-GB"/>
        </w:rPr>
        <w:t xml:space="preserve"> atoms</w:t>
      </w:r>
      <w:r w:rsidR="003619A4" w:rsidRPr="003619A4">
        <w:rPr>
          <w:noProof/>
          <w:sz w:val="16"/>
          <w:lang w:eastAsia="en-GB"/>
        </w:rPr>
        <w:t xml:space="preserve"> were synthesised </w:t>
      </w:r>
      <w:r w:rsidR="00E218C2" w:rsidRPr="003619A4">
        <w:rPr>
          <w:noProof/>
          <w:sz w:val="16"/>
          <w:lang w:eastAsia="en-GB"/>
        </w:rPr>
        <w:t xml:space="preserve">in excellent yields </w:t>
      </w:r>
      <w:r w:rsidR="00F94651">
        <w:rPr>
          <w:noProof/>
          <w:sz w:val="16"/>
          <w:lang w:eastAsia="en-GB"/>
        </w:rPr>
        <w:t>via a</w:t>
      </w:r>
      <w:r w:rsidR="009832FD">
        <w:rPr>
          <w:noProof/>
          <w:sz w:val="16"/>
          <w:lang w:eastAsia="en-GB"/>
        </w:rPr>
        <w:t>n</w:t>
      </w:r>
      <w:r w:rsidR="00F94651">
        <w:rPr>
          <w:noProof/>
          <w:sz w:val="16"/>
          <w:lang w:eastAsia="en-GB"/>
        </w:rPr>
        <w:t xml:space="preserve"> </w:t>
      </w:r>
      <w:r w:rsidR="00E218C2" w:rsidRPr="003619A4">
        <w:rPr>
          <w:noProof/>
          <w:sz w:val="16"/>
          <w:lang w:eastAsia="en-GB"/>
        </w:rPr>
        <w:t>on-water</w:t>
      </w:r>
      <w:r w:rsidR="00E218C2">
        <w:rPr>
          <w:noProof/>
          <w:sz w:val="16"/>
          <w:lang w:eastAsia="en-GB"/>
        </w:rPr>
        <w:t>,</w:t>
      </w:r>
      <w:r w:rsidR="00E218C2" w:rsidRPr="003619A4">
        <w:rPr>
          <w:noProof/>
          <w:sz w:val="16"/>
          <w:lang w:eastAsia="en-GB"/>
        </w:rPr>
        <w:t xml:space="preserve"> </w:t>
      </w:r>
      <w:r w:rsidR="00F94651">
        <w:rPr>
          <w:noProof/>
          <w:sz w:val="16"/>
          <w:lang w:eastAsia="en-GB"/>
        </w:rPr>
        <w:t>one-pot</w:t>
      </w:r>
      <w:r w:rsidR="003619A4" w:rsidRPr="003619A4">
        <w:rPr>
          <w:noProof/>
          <w:sz w:val="16"/>
          <w:lang w:eastAsia="en-GB"/>
        </w:rPr>
        <w:t xml:space="preserve"> reaction. </w:t>
      </w:r>
      <w:r>
        <w:rPr>
          <w:noProof/>
          <w:sz w:val="16"/>
          <w:lang w:eastAsia="en-GB"/>
        </w:rPr>
        <w:t>The</w:t>
      </w:r>
      <w:r w:rsidR="00E218C2">
        <w:rPr>
          <w:noProof/>
          <w:sz w:val="16"/>
          <w:lang w:eastAsia="en-GB"/>
        </w:rPr>
        <w:t xml:space="preserve"> i</w:t>
      </w:r>
      <w:r w:rsidR="003619A4" w:rsidRPr="003619A4">
        <w:rPr>
          <w:noProof/>
          <w:sz w:val="16"/>
          <w:lang w:eastAsia="en-GB"/>
        </w:rPr>
        <w:t>midazolium</w:t>
      </w:r>
      <w:r w:rsidR="00F259B8">
        <w:rPr>
          <w:noProof/>
          <w:sz w:val="16"/>
          <w:lang w:eastAsia="en-GB"/>
        </w:rPr>
        <w:t xml:space="preserve"> acetate</w:t>
      </w:r>
      <w:r w:rsidR="003619A4" w:rsidRPr="003619A4">
        <w:rPr>
          <w:noProof/>
          <w:sz w:val="16"/>
          <w:lang w:eastAsia="en-GB"/>
        </w:rPr>
        <w:t xml:space="preserve"> </w:t>
      </w:r>
      <w:r w:rsidR="00F94651">
        <w:rPr>
          <w:noProof/>
          <w:sz w:val="16"/>
          <w:lang w:eastAsia="en-GB"/>
        </w:rPr>
        <w:t xml:space="preserve">ILs </w:t>
      </w:r>
      <w:r w:rsidR="00E218C2">
        <w:rPr>
          <w:noProof/>
          <w:sz w:val="16"/>
          <w:lang w:eastAsia="en-GB"/>
        </w:rPr>
        <w:t>acted a</w:t>
      </w:r>
      <w:r w:rsidR="00270C22">
        <w:rPr>
          <w:noProof/>
          <w:sz w:val="16"/>
          <w:lang w:eastAsia="en-GB"/>
        </w:rPr>
        <w:t>s</w:t>
      </w:r>
      <w:r w:rsidR="009832FD">
        <w:rPr>
          <w:noProof/>
          <w:sz w:val="16"/>
          <w:lang w:eastAsia="en-GB"/>
        </w:rPr>
        <w:t xml:space="preserve"> </w:t>
      </w:r>
      <w:r w:rsidR="000251C5">
        <w:rPr>
          <w:noProof/>
          <w:sz w:val="16"/>
          <w:lang w:eastAsia="en-GB"/>
        </w:rPr>
        <w:t xml:space="preserve">surfactants </w:t>
      </w:r>
      <w:r w:rsidR="003619A4" w:rsidRPr="003619A4">
        <w:rPr>
          <w:noProof/>
          <w:sz w:val="16"/>
          <w:lang w:eastAsia="en-GB"/>
        </w:rPr>
        <w:t>when dissolved in various solvents. The imidazolium acetate ionic liquids were also derivatised via an acid metathesis to the chloride, nitrate, and hydro</w:t>
      </w:r>
      <w:r w:rsidR="009832FD">
        <w:rPr>
          <w:noProof/>
          <w:sz w:val="16"/>
          <w:lang w:eastAsia="en-GB"/>
        </w:rPr>
        <w:t>gen o</w:t>
      </w:r>
      <w:r w:rsidR="003619A4" w:rsidRPr="003619A4">
        <w:rPr>
          <w:noProof/>
          <w:sz w:val="16"/>
          <w:lang w:eastAsia="en-GB"/>
        </w:rPr>
        <w:t xml:space="preserve">xalate derivatives. </w:t>
      </w:r>
      <w:r>
        <w:rPr>
          <w:noProof/>
          <w:sz w:val="16"/>
          <w:lang w:eastAsia="en-GB"/>
        </w:rPr>
        <w:t>The</w:t>
      </w:r>
      <w:r w:rsidR="000A43D3">
        <w:rPr>
          <w:noProof/>
          <w:sz w:val="16"/>
          <w:lang w:eastAsia="en-GB"/>
        </w:rPr>
        <w:t xml:space="preserve"> thermal </w:t>
      </w:r>
      <w:r>
        <w:rPr>
          <w:noProof/>
          <w:sz w:val="16"/>
          <w:lang w:eastAsia="en-GB"/>
        </w:rPr>
        <w:t>behaviour of all the ionic liquids was determined</w:t>
      </w:r>
      <w:r w:rsidR="00B677AD">
        <w:rPr>
          <w:noProof/>
          <w:sz w:val="16"/>
          <w:lang w:eastAsia="en-GB"/>
        </w:rPr>
        <w:t xml:space="preserve"> </w:t>
      </w:r>
      <w:r w:rsidR="00E218C2">
        <w:rPr>
          <w:noProof/>
          <w:sz w:val="16"/>
          <w:lang w:eastAsia="en-GB"/>
        </w:rPr>
        <w:t>via thermogravimetric and calorimetric analysis</w:t>
      </w:r>
      <w:r w:rsidR="003619A4" w:rsidRPr="003619A4">
        <w:rPr>
          <w:noProof/>
          <w:sz w:val="16"/>
          <w:lang w:eastAsia="en-GB"/>
        </w:rPr>
        <w:t>.</w:t>
      </w:r>
    </w:p>
    <w:p w14:paraId="253AC192" w14:textId="5496B025" w:rsidR="00FA2DA2" w:rsidRPr="00FA2DA2" w:rsidRDefault="00FA2DA2" w:rsidP="00C43B9C">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5A20C020" w14:textId="77777777" w:rsidR="00BF60F7" w:rsidRDefault="00BF60F7" w:rsidP="00FA2DA2">
      <w:pPr>
        <w:pStyle w:val="RSCB04AHeadingSection"/>
      </w:pPr>
      <w:r w:rsidRPr="00017239">
        <w:t>Introduction</w:t>
      </w:r>
    </w:p>
    <w:p w14:paraId="519CABE8" w14:textId="16C4258E" w:rsidR="000C572D" w:rsidRDefault="00D3277B" w:rsidP="000B50FA">
      <w:pPr>
        <w:pStyle w:val="RSCB02ArticleText"/>
      </w:pPr>
      <w:r>
        <w:t xml:space="preserve">Generally comprised of an organic asymmetrical </w:t>
      </w:r>
      <w:r w:rsidR="00E77B93">
        <w:t xml:space="preserve">bulky </w:t>
      </w:r>
      <w:r>
        <w:t xml:space="preserve">cation and an inorganic or organic anion, </w:t>
      </w:r>
      <w:r w:rsidR="00E77B93">
        <w:t xml:space="preserve">room temperature </w:t>
      </w:r>
      <w:r w:rsidR="00171F0A">
        <w:t>i</w:t>
      </w:r>
      <w:r w:rsidR="00A12BE6">
        <w:t>onic liquids</w:t>
      </w:r>
      <w:r w:rsidR="001E12DB">
        <w:t xml:space="preserve"> </w:t>
      </w:r>
      <w:r w:rsidR="00E2464C">
        <w:t>(ILs)</w:t>
      </w:r>
      <w:r w:rsidR="00A12BE6">
        <w:t xml:space="preserve"> </w:t>
      </w:r>
      <w:r w:rsidR="000013A4">
        <w:t>have been defined as</w:t>
      </w:r>
      <w:r w:rsidR="00A12BE6">
        <w:t xml:space="preserve"> salts </w:t>
      </w:r>
      <w:r w:rsidR="000013A4">
        <w:t xml:space="preserve">that are </w:t>
      </w:r>
      <w:r w:rsidR="00A12BE6">
        <w:t>liquid at about or below 10</w:t>
      </w:r>
      <w:r w:rsidR="009A3BB0">
        <w:t xml:space="preserve">0 </w:t>
      </w:r>
      <w:r w:rsidR="009A3BB0" w:rsidRPr="00A12BE6">
        <w:rPr>
          <w:lang w:val="en-US"/>
        </w:rPr>
        <w:t>°C</w:t>
      </w:r>
      <w:r w:rsidR="00A12BE6" w:rsidRPr="00A12BE6">
        <w:rPr>
          <w:lang w:val="en-US"/>
        </w:rPr>
        <w:t xml:space="preserve"> </w:t>
      </w:r>
      <w:r w:rsidR="00A12BE6">
        <w:t>(arbitrary temperature)</w:t>
      </w:r>
      <w:r w:rsidR="00653A1B">
        <w:t>.</w:t>
      </w:r>
      <w:r w:rsidR="005A2E12">
        <w:t xml:space="preserve"> </w:t>
      </w:r>
      <w:r w:rsidR="000013A4">
        <w:t>Being</w:t>
      </w:r>
      <w:r w:rsidR="00171F0A">
        <w:t xml:space="preserve"> salts, i</w:t>
      </w:r>
      <w:r w:rsidR="00E77B93">
        <w:t xml:space="preserve">onic liquids </w:t>
      </w:r>
      <w:r w:rsidR="00FF3A23">
        <w:t xml:space="preserve">are </w:t>
      </w:r>
      <w:r w:rsidR="000013A4">
        <w:t xml:space="preserve">generally </w:t>
      </w:r>
      <w:r w:rsidR="00FF3A23">
        <w:t>non-volatile</w:t>
      </w:r>
      <w:r w:rsidR="00E77B93">
        <w:t xml:space="preserve"> and</w:t>
      </w:r>
      <w:r w:rsidR="00FF3A23">
        <w:t xml:space="preserve"> non-flammable</w:t>
      </w:r>
      <w:r w:rsidR="00171F0A">
        <w:t>.</w:t>
      </w:r>
      <w:r w:rsidR="00FF3A23">
        <w:t xml:space="preserve"> </w:t>
      </w:r>
      <w:r w:rsidR="0094085C">
        <w:t xml:space="preserve">This is </w:t>
      </w:r>
      <w:r w:rsidR="000C572D">
        <w:t xml:space="preserve">in clear contrast to common </w:t>
      </w:r>
      <w:r w:rsidR="00171F0A">
        <w:t xml:space="preserve">organic solvents, which are </w:t>
      </w:r>
      <w:r w:rsidR="005A2E12">
        <w:t xml:space="preserve">often </w:t>
      </w:r>
      <w:r w:rsidR="00171F0A">
        <w:t xml:space="preserve">flammable </w:t>
      </w:r>
      <w:r w:rsidR="00FA326C">
        <w:t xml:space="preserve">volatile organic compounds (VOCs). </w:t>
      </w:r>
      <w:r w:rsidR="000C572D">
        <w:t>In addition</w:t>
      </w:r>
      <w:r w:rsidR="00E77B93">
        <w:t xml:space="preserve">, </w:t>
      </w:r>
      <w:r w:rsidR="000013A4">
        <w:t>i</w:t>
      </w:r>
      <w:r w:rsidR="000C572D">
        <w:t xml:space="preserve">onic liquids </w:t>
      </w:r>
      <w:r w:rsidR="009C7751">
        <w:t xml:space="preserve">generally </w:t>
      </w:r>
      <w:r w:rsidR="000C572D">
        <w:t xml:space="preserve">hold a </w:t>
      </w:r>
      <w:r w:rsidR="00E77B93">
        <w:t>wide liquid range</w:t>
      </w:r>
      <w:r w:rsidR="00020935">
        <w:t>, and</w:t>
      </w:r>
      <w:r w:rsidR="00171F0A">
        <w:t xml:space="preserve"> </w:t>
      </w:r>
      <w:r w:rsidR="000C572D">
        <w:t xml:space="preserve">a </w:t>
      </w:r>
      <w:r w:rsidR="00171F0A">
        <w:t>marked chemical, electrochemical</w:t>
      </w:r>
      <w:r w:rsidR="00020935">
        <w:t>,</w:t>
      </w:r>
      <w:r w:rsidR="00171F0A">
        <w:t xml:space="preserve"> and thermal stability</w:t>
      </w:r>
      <w:r w:rsidR="009C7751">
        <w:t>. Because of these features, ionic liquids</w:t>
      </w:r>
      <w:r w:rsidR="007C0866">
        <w:t xml:space="preserve"> have</w:t>
      </w:r>
      <w:r w:rsidR="009C7751">
        <w:t xml:space="preserve"> fascinated many researchers</w:t>
      </w:r>
      <w:r w:rsidR="00F16E65">
        <w:t xml:space="preserve"> as alternative solvents with a </w:t>
      </w:r>
      <w:r w:rsidR="00F16E65" w:rsidRPr="00F16E65">
        <w:t>significan</w:t>
      </w:r>
      <w:r w:rsidR="00F16E65">
        <w:t xml:space="preserve">t relevance </w:t>
      </w:r>
      <w:r w:rsidR="00C659CB">
        <w:t>for</w:t>
      </w:r>
      <w:r w:rsidR="00F16E65">
        <w:t xml:space="preserve"> environmentally sustainable applications</w:t>
      </w:r>
      <w:r w:rsidR="009C7751">
        <w:t>.</w:t>
      </w:r>
    </w:p>
    <w:p w14:paraId="3FAD2403" w14:textId="7AB4EC78" w:rsidR="003619A4" w:rsidRDefault="005A2E12" w:rsidP="000B50FA">
      <w:pPr>
        <w:pStyle w:val="RSCB02ArticleText"/>
      </w:pPr>
      <w:r>
        <w:t xml:space="preserve">Usually </w:t>
      </w:r>
      <w:r w:rsidR="009C7AF0">
        <w:t xml:space="preserve">classified </w:t>
      </w:r>
      <w:r w:rsidR="009832FD">
        <w:t>by</w:t>
      </w:r>
      <w:r w:rsidR="009C7AF0">
        <w:t xml:space="preserve"> cation</w:t>
      </w:r>
      <w:r w:rsidR="00F96820">
        <w:t>,</w:t>
      </w:r>
      <w:r w:rsidR="009C7AF0">
        <w:t xml:space="preserve"> </w:t>
      </w:r>
      <w:r w:rsidR="009C7751">
        <w:t xml:space="preserve">common </w:t>
      </w:r>
      <w:r w:rsidR="008E39E0">
        <w:t xml:space="preserve">classes </w:t>
      </w:r>
      <w:r w:rsidR="00084036">
        <w:t xml:space="preserve">of ionic liquids </w:t>
      </w:r>
      <w:r w:rsidR="008E39E0">
        <w:t>are i</w:t>
      </w:r>
      <w:r w:rsidR="009C7AF0">
        <w:t>midazolium, ammonium</w:t>
      </w:r>
      <w:r w:rsidR="001C3B3E">
        <w:t>, pyrrolidinium</w:t>
      </w:r>
      <w:r w:rsidR="009C7AF0">
        <w:t>, phosphonium and pyridinium</w:t>
      </w:r>
      <w:r w:rsidR="000E42A8">
        <w:t>-based</w:t>
      </w:r>
      <w:r w:rsidR="008E39E0">
        <w:t xml:space="preserve">. </w:t>
      </w:r>
      <w:r w:rsidR="009C7AF0">
        <w:t xml:space="preserve">Amongst </w:t>
      </w:r>
      <w:r w:rsidR="008E39E0">
        <w:t>the</w:t>
      </w:r>
      <w:r w:rsidR="00AA760B">
        <w:t>se</w:t>
      </w:r>
      <w:r w:rsidR="009C7AF0">
        <w:t xml:space="preserve">, </w:t>
      </w:r>
      <w:r w:rsidR="00AA760B">
        <w:t xml:space="preserve">the research on </w:t>
      </w:r>
      <w:r w:rsidR="000E42A8">
        <w:t>i</w:t>
      </w:r>
      <w:r w:rsidR="002C6386">
        <w:t xml:space="preserve">midazolium </w:t>
      </w:r>
      <w:r w:rsidR="00E2464C">
        <w:t xml:space="preserve">ILs </w:t>
      </w:r>
      <w:r w:rsidR="009C7751">
        <w:t xml:space="preserve">advanced </w:t>
      </w:r>
      <w:r>
        <w:t xml:space="preserve">swiftly </w:t>
      </w:r>
      <w:r w:rsidR="00814575">
        <w:t>because of the</w:t>
      </w:r>
      <w:r w:rsidR="009C7751">
        <w:t>ir</w:t>
      </w:r>
      <w:r w:rsidR="00814575">
        <w:t xml:space="preserve"> </w:t>
      </w:r>
      <w:r w:rsidR="00382ABF">
        <w:t xml:space="preserve">remarkable </w:t>
      </w:r>
      <w:r w:rsidR="00814575">
        <w:t>molecular structure</w:t>
      </w:r>
      <w:r w:rsidR="009C7AF0">
        <w:t>.</w:t>
      </w:r>
      <w:r w:rsidR="00D15268" w:rsidRPr="00D15268">
        <w:t xml:space="preserve"> </w:t>
      </w:r>
      <w:r w:rsidR="00D15268">
        <w:fldChar w:fldCharType="begin" w:fldLock="1"/>
      </w:r>
      <w:r w:rsidR="00D15268">
        <w:instrText>ADDIN CSL_CITATION {"citationItems":[{"id":"ITEM-1","itemData":{"DOI":"10.1039/C5CP00459D","ISSN":"1463-9076","PMID":"25820481","abstract":"The importance of 1° and 2° hydrogen-bonding and anion–π + interactions for ionic liquid structuring.","author":[{"dropping-particle":"","family":"Matthews","given":"Richard P.","non-dropping-particle":"","parse-names":false,"suffix":""},{"dropping-particle":"","family":"Welton","given":"Tom","non-dropping-particle":"","parse-names":false,"suffix":""},{"dropping-particle":"","family":"Hunt","given":"Patricia A.","non-dropping-particle":"","parse-names":false,"suffix":""}],"container-title":"Physical Chemistry Chemical Physics","id":"ITEM-1","issue":"22","issued":{"date-parts":[["2015"]]},"page":"14437-14453","title":"Hydrogen bonding and π–π interactions in imidazolium-chloride ionic liquid clusters","type":"article-journal","volume":"17"},"uris":["http://www.mendeley.com/documents/?uuid=aa831af4-268c-4e62-97e0-9947049ed3d1"]},{"id":"ITEM-2","itemData":{"DOI":"10.1039/c3cp54672a","ISBN":"1463-9076","ISSN":"1463-9076","PMID":"24407103","abstract":"In this paper we have explored the structural and energetic landscape of potential [small pi]+-[small pi]+ stacked motifs{,} hydrogen-bonding arrangements and anion-[small pi]+ interactions for gas-phase ion pair (IP) conformers and IP-dimers of 1{,}3-dimethylimidazolium chloride{,} [C1C1im]Cl. We classify cation-cation ring stacking as an electron deficient [small pi]+-[small pi]+ interaction{,} and a competitive anion on-top IP motif as an anion-donor [small pi]+-acceptor interaction. 21 stable IP-dimers have been obtained within an energy range of 0-126 kJ mol-1. The structures have been found to exhibit a complex interplay of structural features. We have found that low energy IP-dimers are not necessarily formed from the lowest energy IP conformers. The sampled range of IP-dimers exhibits new structural forms that cannot be recovered by examining the ion-pairs alone{,} moreover the IP-dimers are recovering additional key features of the local liquid structure. Including dispersion is shown to impact both the relative energy ordering and the geometry of the IPs and IP-dimers{,} however the impact is found to be subtle and dependent on the underlying functional.","author":[{"dropping-particle":"","family":"Matthews","given":"Richard P.","non-dropping-particle":"","parse-names":false,"suffix":""},{"dropping-particle":"","family":"Welton","given":"Tom","non-dropping-particle":"","parse-names":false,"suffix":""},{"dropping-particle":"","family":"Hunt","given":"Patricia A.","non-dropping-particle":"","parse-names":false,"suffix":""}],"container-title":"Physical Chemistry Chemical Physics","id":"ITEM-2","issue":"7","issued":{"date-parts":[["2014"]]},"page":"3238-3253","title":"Competitive pi interactions and hydrogen bonding within imidazolium ionic liquids","type":"article-journal","volume":"16"},"uris":["http://www.mendeley.com/documents/?uuid=ff5a8cbb-58b2-46a3-b9b8-b5f0a09f39cf"]}],"mendeley":{"formattedCitation":"&lt;sup&gt;1,2&lt;/sup&gt;","plainTextFormattedCitation":"1,2","previouslyFormattedCitation":"&lt;sup&gt;1,2&lt;/sup&gt;"},"properties":{"noteIndex":0},"schema":"https://github.com/citation-style-language/schema/raw/master/csl-citation.json"}</w:instrText>
      </w:r>
      <w:r w:rsidR="00D15268">
        <w:fldChar w:fldCharType="separate"/>
      </w:r>
      <w:r w:rsidR="00D15268" w:rsidRPr="00CB1AEF">
        <w:rPr>
          <w:noProof/>
          <w:vertAlign w:val="superscript"/>
        </w:rPr>
        <w:t>1,2</w:t>
      </w:r>
      <w:r w:rsidR="00D15268">
        <w:fldChar w:fldCharType="end"/>
      </w:r>
      <w:r w:rsidR="009C7AF0">
        <w:t xml:space="preserve"> The heterocyclic structure is </w:t>
      </w:r>
      <w:r>
        <w:t xml:space="preserve">at </w:t>
      </w:r>
      <w:r w:rsidR="00382ABF">
        <w:t xml:space="preserve">the </w:t>
      </w:r>
      <w:r w:rsidR="008E39E0">
        <w:t xml:space="preserve">origin </w:t>
      </w:r>
      <w:r w:rsidR="009C7AF0">
        <w:t>o</w:t>
      </w:r>
      <w:r w:rsidR="00F96820">
        <w:t>f</w:t>
      </w:r>
      <w:r w:rsidR="009C7AF0">
        <w:t xml:space="preserve"> the</w:t>
      </w:r>
      <w:r w:rsidR="002657C9">
        <w:t xml:space="preserve"> </w:t>
      </w:r>
      <w:r w:rsidR="009C7751">
        <w:t xml:space="preserve">stability </w:t>
      </w:r>
      <w:r w:rsidR="009E04FA">
        <w:t xml:space="preserve">of imidazolium compounds </w:t>
      </w:r>
      <w:r w:rsidR="009C7751">
        <w:t xml:space="preserve">and </w:t>
      </w:r>
      <w:r w:rsidR="002657C9">
        <w:t xml:space="preserve">the </w:t>
      </w:r>
      <w:r w:rsidR="00020935">
        <w:t>cause of the</w:t>
      </w:r>
      <w:r w:rsidR="00E2464C">
        <w:t xml:space="preserve"> </w:t>
      </w:r>
      <w:r w:rsidR="009E04FA">
        <w:t>C2</w:t>
      </w:r>
      <w:r w:rsidR="009C7AF0">
        <w:t xml:space="preserve"> proton acidity, which is </w:t>
      </w:r>
      <w:r w:rsidR="002657C9">
        <w:t xml:space="preserve">a </w:t>
      </w:r>
      <w:r w:rsidR="009C7AF0">
        <w:t xml:space="preserve">central </w:t>
      </w:r>
      <w:r>
        <w:t xml:space="preserve">feature of </w:t>
      </w:r>
      <w:r w:rsidR="002657C9">
        <w:t xml:space="preserve">the </w:t>
      </w:r>
      <w:r w:rsidR="009C7AF0">
        <w:t>imidazolium</w:t>
      </w:r>
      <w:r w:rsidR="00E2464C">
        <w:t xml:space="preserve"> ILs</w:t>
      </w:r>
      <w:r w:rsidR="00814575">
        <w:t xml:space="preserve"> reactivity</w:t>
      </w:r>
      <w:r w:rsidR="009C7AF0">
        <w:t>.</w:t>
      </w:r>
      <w:r w:rsidR="00D15268" w:rsidRPr="00D15268">
        <w:t xml:space="preserve"> </w:t>
      </w:r>
      <w:r w:rsidR="00D15268">
        <w:fldChar w:fldCharType="begin" w:fldLock="1"/>
      </w:r>
      <w:r w:rsidR="00D15268">
        <w:instrText>ADDIN CSL_CITATION {"citationItems":[{"id":"ITEM-1","itemData":{"DOI":"10.1071/CH06301","ISSN":"0004-9425","abstract":"A large number of ab-initio (B3LYP/6–31++G(d,p)) computed ion-pair structures have been examined in order to deter- mine if such calculations are capable of offering insight into the physical properties of the liquid state, particularly viscosity and melting point. Ion pairings based around the 1-butyl-3-methylimidazolium (C4C1im) cations and a range of anions (Cl, BF4, and N(Tf )2 where N(Tf )2 is bis(trifluoromethylsulfonly)imide) were chosen because of the range of viscosities exhibited by the corresponding ionic liquids.We have used these results to build up a ‘picture’ of the ionic liquid structure which is consistent with molecular dynamics simulations and experimental evidence. However, further work is required to established if such an analysis could be predictive. Nevertheless, we establish clear relationships relating ion-pair association energy, a derived ‘connectivity index’, and the diversity of structures with viscosity and melting point. Our calculations indicate that ions in C4C1imCl form a strong, highly connected and regular array thus rationalizing the high viscosity and melting point. In contrast the ion-pairs of C4C1imN(Tf )2 form a weakly interacting, highly disordered, and lowconnectivity network consistent with the lowviscosity and melting point. C4C1imBF4 lies midway between these two extremes.","author":[{"dropping-particle":"","family":"Hunt","given":"Patricia A.","non-dropping-particle":"","parse-names":false,"suffix":""},{"dropping-particle":"","family":"Gould","given":"Ian R.","non-dropping-particle":"","parse-names":false,"suffix":""},{"dropping-particle":"","family":"Kirchner","given":"Barbara","non-dropping-particle":"","parse-names":false,"suffix":""}],"container-title":"Australian Journal of Chemistry","id":"ITEM-1","issue":"1","issued":{"date-parts":[["2007"]]},"page":"9-14","title":"The Structure of Imidazolium-Based Ionic Liquids: Insights From Ion-Pair Interactions","type":"article-journal","volume":"60"},"uris":["http://www.mendeley.com/documents/?uuid=a6ad8c76-a9c7-4b2f-8e7a-627efc856454"]},{"id":"ITEM-2","itemData":{"DOI":"10.1021/jp0547865","ISSN":"1089-5639","PMID":"16466265","abstract":"Ab initio theoretical methods are used to investigate the gas-phase ion pairs of the ionic liquid 1-butyl-3-methylimidazolium chloride. Multiple stable conformers with the chloride anion positioned (in-plane) around the imidazolium ring or above the C2-H bond are determined. The relative energy ordering of the conformers is examined at the B3LYP, MP2, and CCSD(T) levels. Zero-point energies, BSSE, and basis set effects are examined. For accurate results, correlation (dispersion) effects must be included. The most stable conformers are essentially degenerate and have the chloride H-bonding to, or lying above, the C2-H bond. Other conformers are found to lie approximately 30 and approximately 60 kJ mol(-1) higher in energy. Results are compared with those from recent simulations and experimental studies. The effect of the chloride anion on rotation of the butyl chain is investigated and found to lower some rotational barriers while enhancing others. The origin of the rotational barriers is determined. The number and type of hydrogen bonds formed between the imidazolium cation and chloride anion is found to vary significantly among conformers. No evidence of a possible intra C(alkyl)-H...pi interaction is obtained; however, hints of a Cl...pi interaction are found. The vibrational spectrum of each conformer is examined, and the origin of multiple (H-bonding) features in the vibrational spectrum of the ionic liquid explained.","author":[{"dropping-particle":"","family":"Hunt","given":"Patricia A.","non-dropping-particle":"","parse-names":false,"suffix":""},{"dropping-particle":"","family":"Gould","given":"Ian R","non-dropping-particle":"","parse-names":false,"suffix":""}],"container-title":"The journal of physical chemistry. A","id":"ITEM-2","issue":"6","issued":{"date-parts":[["2006","2","16"]]},"page":"2269-2282","title":"Structural characterization of the 1-butyl-3-methylimidazolium chloride ion pair using ab initio methods.","type":"article-journal","volume":"110"},"uris":["http://www.mendeley.com/documents/?uuid=6cdb0f8a-143f-4df3-af81-9f464ba76672"]},{"id":"ITEM-3","itemData":{"DOI":"10.1002/chem.200600103","ISSN":"0947-6539","PMID":"16807969","abstract":"In this paper we analyse the electronic properties of gas-phase 1-butyl-3-methylimidazolium Cl ion pairs, [C(4)C(1)im]Cl, in order to deepen our understanding of ionic liquids in general. Examination of charge densities, natural bond orbitals (NBO), and delocalised molecular orbitals computed at the B3LYP and MP2/6-31(++)G(d,p) levels have enabled us to explain a number of experimental phenomena: the relative acidity of different sites on the imidazolium ring, variations in hydrogen-bond donor and acceptor abilities, the apparent contradiction of the hydrogen-bond-donor parameters for different types of solute, the low probability of finding a Cl(-) anion at the rear of the imidazolium ring and the expansion of the imidazolium ring in the presence of a strong hydrogen-bond acceptor. The unreactive but coordinating environment and large electrochemical window have also been accounted for, as has the strong electron-donating character of the carbon atoms to the rear of the ring in associated imidazolylidenes. The electronic structure of the [C(4)C(1)im](+) cation is best described by a C(4)==C(5) double bond at the rear, and a delocalised three-centre 4 e(-) component across the front (N(1)-C(2)-N(3)) of the imidazolium ring; delocalisation between these regions is also significant. Hydrogen-bond formation is driven by Coulombic stabilisation, which compensates for an associated destabilisation of the electronic part of the system. Interactions are dominated by a large positive charge at C(2) and the build up of pi-electron density above and below the ring, particularly that associated with the double bond between C(4) and C(5). The NBO partial charges have been computed and compared with those used in a number of classical simulations.","author":[{"dropping-particle":"","family":"Hunt","given":"Patricia A.","non-dropping-particle":"","parse-names":false,"suffix":""},{"dropping-particle":"","family":"Kirchner","given":"Barbara","non-dropping-particle":"","parse-names":false,"suffix":""},{"dropping-particle":"","family":"Welton","given":"Tom","non-dropping-particle":"","parse-names":false,"suffix":""}],"container-title":"Chemistry (Weinheim an der Bergstrasse, Germany)","id":"ITEM-3","issue":"26","issued":{"date-parts":[["2006","9","6"]]},"page":"6762-6775","title":"Characterising the electronic structure of ionic liquids: an examination of the 1-butyl-3-methylimidazolium chloride ion pair.","type":"article-journal","volume":"12"},"uris":["http://www.mendeley.com/documents/?uuid=15ff7d20-8bc2-4bd8-b8f8-0a883137e67a"]}],"mendeley":{"formattedCitation":"&lt;sup&gt;3–5&lt;/sup&gt;","plainTextFormattedCitation":"3–5","previouslyFormattedCitation":"&lt;sup&gt;3–5&lt;/sup&gt;"},"properties":{"noteIndex":0},"schema":"https://github.com/citation-style-language/schema/raw/master/csl-citation.json"}</w:instrText>
      </w:r>
      <w:r w:rsidR="00D15268">
        <w:fldChar w:fldCharType="separate"/>
      </w:r>
      <w:r w:rsidR="00D15268" w:rsidRPr="00CB1AEF">
        <w:rPr>
          <w:noProof/>
          <w:vertAlign w:val="superscript"/>
        </w:rPr>
        <w:t>3–5</w:t>
      </w:r>
      <w:r w:rsidR="00D15268">
        <w:fldChar w:fldCharType="end"/>
      </w:r>
    </w:p>
    <w:p w14:paraId="266CEAB8" w14:textId="326E2731" w:rsidR="002E7FF3" w:rsidRDefault="009E04FA" w:rsidP="000B50FA">
      <w:pPr>
        <w:pStyle w:val="RSCB02ArticleText"/>
      </w:pPr>
      <w:r>
        <w:t xml:space="preserve">Previous </w:t>
      </w:r>
      <w:r w:rsidR="00FA326C">
        <w:t xml:space="preserve">research focused on </w:t>
      </w:r>
      <w:r w:rsidR="005A2E12">
        <w:t xml:space="preserve">fundamental </w:t>
      </w:r>
      <w:r w:rsidR="0094085C">
        <w:t>studies</w:t>
      </w:r>
      <w:r w:rsidR="00020935">
        <w:t>,</w:t>
      </w:r>
      <w:r w:rsidR="005A2E12">
        <w:t xml:space="preserve"> </w:t>
      </w:r>
      <w:r w:rsidR="0094085C">
        <w:t xml:space="preserve">which </w:t>
      </w:r>
      <w:r w:rsidR="005A2E12">
        <w:t>assess</w:t>
      </w:r>
      <w:r w:rsidR="0094085C">
        <w:t>ed</w:t>
      </w:r>
      <w:r w:rsidR="005A2E12">
        <w:t xml:space="preserve"> the</w:t>
      </w:r>
      <w:r w:rsidR="0094085C">
        <w:t xml:space="preserve"> ILs</w:t>
      </w:r>
      <w:r w:rsidR="005A2E12">
        <w:t xml:space="preserve"> potential </w:t>
      </w:r>
      <w:r w:rsidR="0094085C">
        <w:t xml:space="preserve">and the suitability to various </w:t>
      </w:r>
      <w:r w:rsidR="005A2E12">
        <w:t>applicati</w:t>
      </w:r>
      <w:r w:rsidR="00D17028">
        <w:t>ons</w:t>
      </w:r>
      <w:r w:rsidR="00FA326C">
        <w:t>.</w:t>
      </w:r>
      <w:r w:rsidR="00D15268">
        <w:rPr>
          <w:rStyle w:val="FootnoteReference"/>
        </w:rPr>
        <w:fldChar w:fldCharType="begin" w:fldLock="1"/>
      </w:r>
      <w:r w:rsidR="00D15268">
        <w:instrText>ADDIN CSL_CITATION {"citationItems":[{"id":"ITEM-1","itemData":{"DOI":"10.1016/J.TALANTA.2018.03.001","ISSN":"0039-9140","abstract":"Ionic liquids (ILs) are becoming a trending topic in sample preparation technology, due to their low volatility, low flammability and tunable physiochemical properties. The latter affords the opportunity for creating task-specific solvents. In toxicology, these tailored ILs were not introduced yet; however, they can be significant for drug extraction purposes. This study screens 11 commercially available ILs as potential extraction media for benzodiazepines from blood samples via liquid-liquid microextraction, coupled to liquid chromatography – tandem mass spectrometry (LC-MS/MS). Structure-extraction relationships were deducted from recovery and matrix effect results (n = 5), allowing us to devise some of the favorable features in a tailored IL for benzodiazepine extraction. Overall, long alkyl chains are to be avoided, as they may sterically hinder desirable π-stacking interactions. For the same reason, aromatic planar cations, as imidazolium and pyridinium, were more effective in comparison with ammonium and pyrrolidinium. Furthermore, viscosity negatively impacted both recoveries and matrix effects. High viscosities limited mass transfer during dispersion and impeded electrospray ionization processes. In conclusion, this study evaluates which physicochemical features an IL should possess to efficiently extract benzodiazepines from whole blood.","author":[{"dropping-particle":"","family":"Boeck","given":"Marieke","non-dropping-particle":"De","parse-names":false,"suffix":""},{"dropping-particle":"","family":"Damilano","given":"Giacomo","non-dropping-particle":"","parse-names":false,"suffix":""},{"dropping-particle":"","family":"Dehaen","given":"Wim","non-dropping-particle":"","parse-names":false,"suffix":""},{"dropping-particle":"","family":"Tytgat","given":"Jan","non-dropping-particle":"","parse-names":false,"suffix":""},{"dropping-particle":"","family":"Cuypers","given":"Eva","non-dropping-particle":"","parse-names":false,"suffix":""}],"container-title":"Talanta","id":"ITEM-1","issued":{"date-parts":[["2018","7","1"]]},"page":"369-374","publisher":"Elsevier","title":"Evaluation of 11 ionic liquids as potential extraction solvents for benzodiazepines from whole blood using liquid-liquid microextraction combined with LC-MS/MS","type":"article-journal","volume":"184"},"uris":["http://www.mendeley.com/documents/?uuid=c945614c-8849-3701-9582-046272d43390"]},{"id":"ITEM-2","itemData":{"DOI":"10.1039/C4GC01955E","ISBN":"1463-9262","ISSN":"1463-9262","abstract":"The decomposition pathways of a series of carbohydrates dissolved in carboxylate ionic liquids have been investigated in detail using a broad range of thermal and chromatographic techniques. Mixtures of the carboxylate ionic liquid 1-ethyl-3-methylimidazolium acetate with carbohydrates were found to undergo reaction of the C2 carbon of the imidazolium ring with the aldehyde functionality on the open chain sugar, yielding an imidazolium adduct with a hydroxylated alkyl chain. Subsequently, degradation of the hydroxyalkyl chain occurs by sequential loss of formaldehyde units, to yield a terminal adduct species, 1-ethyl-2-(hydroxymethyl)-3-methylimidazolium acetate. Identities of the final and intermediate adduct species, and the reaction mechanisms connecting adducts, were elucidated by NMR, HPLC and LCMS techniques. Factors affecting the rate and quantity of adduct formation were explored. Changing the ionic liquid cation and anion, the acid number, sugar concentration and temperature influenced the rate of formation and relative quantities of the adduct species. Formation of adducts could not be entirely prevented when employing carboxylate ionic liquids. By contrast, 1-butyl-3-methylimidazolium chloride was identified as an ionic liquid capable of dissolving a significant quantity of cellulose, yet without reacting with carbohydrates.","author":[{"dropping-particle":"","family":"Clough","given":"Matthew T.","non-dropping-particle":"","parse-names":false,"suffix":""},{"dropping-particle":"","family":"Geyer","given":"Karolin","non-dropping-particle":"","parse-names":false,"suffix":""},{"dropping-particle":"","family":"Hunt","given":"Patricia A.","non-dropping-particle":"","parse-names":false,"suffix":""},{"dropping-particle":"","family":"Son","given":"Sunghee","non-dropping-particle":"","parse-names":false,"suffix":""},{"dropping-particle":"","family":"Vagt","given":"Uwe","non-dropping-particle":"","parse-names":false,"suffix":""},{"dropping-particle":"","family":"Welton","given":"Tom","non-dropping-particle":"","parse-names":false,"suffix":""}],"container-title":"Green Chem.","id":"ITEM-2","issue":"1","issued":{"date-parts":[["2015"]]},"page":"231-243","publisher":"Royal Society of Chemistry","title":"Ionic liquids: not always innocent solvents for cellulose","type":"article-journal","volume":"17"},"uris":["http://www.mendeley.com/documents/?uuid=f2f5870e-cfe5-4f36-90ce-9172e465fdcc"]},{"id":"ITEM-3","itemData":{"DOI":"10.1021/cr1003248","ISBN":"0009-2665","ISSN":"0009-2665","PMID":"21469639","abstract":"... aluminum(III) chloride has been used to prepare a solvent that was used for synthesis with no apparent loss of function. 49 It must, however, be noted that the introduction of proton and oxide impurities can have dramatic effects on the chemistry of the ionic liquid (see below). ...","author":[{"dropping-particle":"","family":"Hallett","given":"Jason P.","non-dropping-particle":"","parse-names":false,"suffix":""},{"dropping-particle":"","family":"Welton","given":"Tom","non-dropping-particle":"","parse-names":false,"suffix":""}],"container-title":"Chemical Reviews","id":"ITEM-3","issue":"5","issued":{"date-parts":[["2011","5","11"]]},"page":"3508-3576","title":"Room-Temperature Ionic Liquids: Solvents for Synthesis and Catalysis. 2","type":"article-journal","volume":"111"},"uris":["http://www.mendeley.com/documents/?uuid=abae7014-2f28-4a0e-a490-dad473aec196"]},{"id":"ITEM-4","itemData":{"DOI":"10.1039/c3cp54672a","ISBN":"1463-9076","ISSN":"1463-9076","PMID":"24407103","abstract":"In this paper we have explored the structural and energetic landscape of potential [small pi]+-[small pi]+ stacked motifs{,} hydrogen-bonding arrangements and anion-[small pi]+ interactions for gas-phase ion pair (IP) conformers and IP-dimers of 1{,}3-dimethylimidazolium chloride{,} [C1C1im]Cl. We classify cation-cation ring stacking as an electron deficient [small pi]+-[small pi]+ interaction{,} and a competitive anion on-top IP motif as an anion-donor [small pi]+-acceptor interaction. 21 stable IP-dimers have been obtained within an energy range of 0-126 kJ mol-1. The structures have been found to exhibit a complex interplay of structural features. We have found that low energy IP-dimers are not necessarily formed from the lowest energy IP conformers. The sampled range of IP-dimers exhibits new structural forms that cannot be recovered by examining the ion-pairs alone{,} moreover the IP-dimers are recovering additional key features of the local liquid structure. Including dispersion is shown to impact both the relative energy ordering and the geometry of the IPs and IP-dimers{,} however the impact is found to be subtle and dependent on the underlying functional.","author":[{"dropping-particle":"","family":"Matthews","given":"Richard P.","non-dropping-particle":"","parse-names":false,"suffix":""},{"dropping-particle":"","family":"Welton","given":"Tom","non-dropping-particle":"","parse-names":false,"suffix":""},{"dropping-particle":"","family":"Hunt","given":"Patricia A.","non-dropping-particle":"","parse-names":false,"suffix":""}],"container-title":"Physical Chemistry Chemical Physics","id":"ITEM-4","issue":"7","issued":{"date-parts":[["2014"]]},"page":"3238-3253","title":"Competitive pi interactions and hydrogen bonding within imidazolium ionic liquids","type":"article-journal","volume":"16"},"uris":["http://www.mendeley.com/documents/?uuid=ff5a8cbb-58b2-46a3-b9b8-b5f0a09f39cf"]},{"id":"ITEM-5","itemData":{"DOI":"10.1002/anie.199721621","ISSN":"0570-0833","author":[{"dropping-particle":"","family":"Herrmann","given":"Wolfgang A.","non-dropping-particle":"","parse-names":false,"suffix":""},{"dropping-particle":"","family":"Köcher","given":"Christian","non-dropping-particle":"","parse-names":false,"suffix":""}],"container-title":"Angewandte Chemie International Edition in English","id":"ITEM-5","issue":"20","issued":{"date-parts":[["1997","11","3"]]},"page":"2162-2187","title":"N-Heterocyclic Carbenes","type":"article-journal","volume":"36"},"uris":["http://www.mendeley.com/documents/?uuid=aab503df-56d5-4348-874e-badeed2e834c"]}],"mendeley":{"formattedCitation":"&lt;sup&gt;2,6–9&lt;/sup&gt;","plainTextFormattedCitation":"2,6–9","previouslyFormattedCitation":"&lt;sup&gt;2,6–9&lt;/sup&gt;"},"properties":{"noteIndex":0},"schema":"https://github.com/citation-style-language/schema/raw/master/csl-citation.json"}</w:instrText>
      </w:r>
      <w:r w:rsidR="00D15268">
        <w:rPr>
          <w:rStyle w:val="FootnoteReference"/>
        </w:rPr>
        <w:fldChar w:fldCharType="separate"/>
      </w:r>
      <w:r w:rsidR="00D15268" w:rsidRPr="00CB1AEF">
        <w:rPr>
          <w:bCs/>
          <w:noProof/>
          <w:vertAlign w:val="superscript"/>
          <w:lang w:val="en-US"/>
        </w:rPr>
        <w:t>2,6–9</w:t>
      </w:r>
      <w:r w:rsidR="00D15268">
        <w:rPr>
          <w:rStyle w:val="FootnoteReference"/>
        </w:rPr>
        <w:fldChar w:fldCharType="end"/>
      </w:r>
      <w:r w:rsidR="00FA326C">
        <w:t xml:space="preserve"> </w:t>
      </w:r>
      <w:r>
        <w:t>I</w:t>
      </w:r>
      <w:r w:rsidR="008768B8" w:rsidRPr="008768B8">
        <w:t xml:space="preserve">midazolium </w:t>
      </w:r>
      <w:r w:rsidR="008768B8">
        <w:t>ILs</w:t>
      </w:r>
      <w:r w:rsidR="008768B8" w:rsidRPr="008768B8">
        <w:t xml:space="preserve"> </w:t>
      </w:r>
      <w:r>
        <w:t>are of special interest</w:t>
      </w:r>
      <w:r w:rsidR="008768B8" w:rsidRPr="008768B8">
        <w:t xml:space="preserve"> because</w:t>
      </w:r>
      <w:r w:rsidR="00C659CB">
        <w:t xml:space="preserve"> of the</w:t>
      </w:r>
      <w:r w:rsidR="008768B8" w:rsidRPr="008768B8">
        <w:t xml:space="preserve"> non-innocent n</w:t>
      </w:r>
      <w:r w:rsidR="008768B8">
        <w:t xml:space="preserve">ature </w:t>
      </w:r>
      <w:r w:rsidR="00810C4A">
        <w:t>displayed by</w:t>
      </w:r>
      <w:r w:rsidR="008768B8">
        <w:t xml:space="preserve"> </w:t>
      </w:r>
      <w:r w:rsidR="00810C4A">
        <w:t xml:space="preserve">the </w:t>
      </w:r>
      <w:r w:rsidR="008768B8">
        <w:t xml:space="preserve">imidazolium cation, </w:t>
      </w:r>
      <w:r w:rsidR="00810C4A">
        <w:t>which acted not only as a</w:t>
      </w:r>
      <w:r>
        <w:t xml:space="preserve"> very</w:t>
      </w:r>
      <w:r w:rsidR="008768B8">
        <w:t xml:space="preserve"> stable </w:t>
      </w:r>
      <w:r w:rsidR="00810C4A">
        <w:t>heterocycle but also as</w:t>
      </w:r>
      <w:r w:rsidR="008768B8">
        <w:t xml:space="preserve"> </w:t>
      </w:r>
      <w:r w:rsidR="00097710">
        <w:t>an expedient precursor of</w:t>
      </w:r>
      <w:r w:rsidR="008768B8" w:rsidRPr="008768B8">
        <w:t xml:space="preserve"> </w:t>
      </w:r>
      <w:r w:rsidR="008768B8">
        <w:t>N-heterocyclic carbenes</w:t>
      </w:r>
      <w:r w:rsidR="008768B8" w:rsidRPr="008768B8">
        <w:t>.</w:t>
      </w:r>
      <w:r w:rsidR="00D15268">
        <w:rPr>
          <w:rStyle w:val="FootnoteReference"/>
        </w:rPr>
        <w:fldChar w:fldCharType="begin" w:fldLock="1"/>
      </w:r>
      <w:r w:rsidR="00D15268">
        <w:instrText>ADDIN CSL_CITATION {"citationItems":[{"id":"ITEM-1","itemData":{"DOI":"10.1038/nature04451","ISBN":"0028-0836","ISSN":"0028-0836","PMID":"16482154","abstract":"It is widely believed that a defining characteristic of ionic liquids (or low-temperature molten salts) is that they exert no measurable vapour pressure, and hence cannot be distilled1,2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realized.","author":[{"dropping-particle":"","family":"Earle","given":"Martyn J.","non-dropping-particle":"","parse-names":false,"suffix":""},{"dropping-particle":"","family":"Esperança","given":"José M.S.S.","non-dropping-particle":"","parse-names":false,"suffix":""},{"dropping-particle":"","family":"Gilea","given":"Manuela A.","non-dropping-particle":"","parse-names":false,"suffix":""},{"dropping-particle":"","family":"Canongia Lopes","given":"José N.","non-dropping-particle":"","parse-names":false,"suffix":""},{"dropping-particle":"","family":"Rebelo","given":"Luís P.N.","non-dropping-particle":"","parse-names":false,"suffix":""},{"dropping-particle":"","family":"Magee","given":"Joseph W.","non-dropping-particle":"","parse-names":false,"suffix":""},{"dropping-particle":"","family":"Seddon","given":"Kenneth R.","non-dropping-particle":"","parse-names":false,"suffix":""},{"dropping-particle":"","family":"Widegren","given":"Jason A.","non-dropping-particle":"","parse-names":false,"suffix":""}],"container-title":"Nature","id":"ITEM-1","issue":"7078","issued":{"date-parts":[["2006"]]},"page":"831-834","title":"The distillation and volatility of ionic liquids","type":"article-journal","volume":"439"},"uris":["http://www.mendeley.com/documents/?uuid=806cf93a-db61-4901-aa12-e83d50f463dc"]},{"id":"ITEM-2","itemData":{"DOI":"10.1016/j.cattod.2012.04.007","ISSN":"09205861","abstract":"The material known as 1-butyl-3-methylimidazolium hydroxide has been reported to be a 1:1 mixture of [BMIM]-cations and [OH]-anions and, as such, has been widely cited as a basic ionic liquid. 1,3-Disubstituted imidazolium-cations however, are prone to deprotonation at the C2-position of the imidazolium ring, a property readily exploited for the preparation of N-heterocyclic carbenes. Consequently, this reactivity may be unexpected and especially unwelcome when it leads to the decomposition of \"[BMIM][OH] \" itself, especially if the decomposition occurs during its use as a basic catalyst or reaction medium. Here, we highlight the putative \"[BMIM][OH]\", as a case of particular inconsistency and inaccuracy in the literature and aim to dispel some of the persisting confusion surrounding its preparation, characterisation and use. The first part of this paper concerns the history, preparation and identity of so-called \"[BMIM][OH]\", whilst the second part highlights some of the claimed activity, effects and problems associated with its use. Despite warnings in the literature, reports are still appearing in which mechanistic interpretations of reaction pathways and results are made without consideration of the unwanted reactivities of the 1,3-disubstituted imidazolium-cations employed. Future publications in which the use of \"[BMIM][OH]\" is reported should take into account the acidity of the [BMIM]-cation and the consequences this has for the chemistry being studied. © 2012 Elsevier B.V.","author":[{"dropping-particle":"","family":"Yuen","given":"Alexander K.L.","non-dropping-particle":"","parse-names":false,"suffix":""},{"dropping-particle":"","family":"Masters","given":"Anthony F.","non-dropping-particle":"","parse-names":false,"suffix":""},{"dropping-particle":"","family":"Maschmeyer","given":"Thomas","non-dropping-particle":"","parse-names":false,"suffix":""}],"container-title":"Catalysis Today","id":"ITEM-2","issue":"1","issued":{"date-parts":[["2013"]]},"page":"9-16","publisher":"Elsevier B.V.","title":"1,3-Disubstituted imidazolium hydroxides: Dry salts or wet carbenes?","type":"article-journal","volume":"200"},"uris":["http://www.mendeley.com/documents/?uuid=5208577b-5aa1-4840-8c2d-6e4aea80a1f2"]},{"id":"ITEM-3","itemData":{"DOI":"10.1016/j.tetlet.2011.03.008","ISSN":"0040-4039","author":[{"dropping-particle":"","family":"Kim","given":"Hyoungsu","non-dropping-particle":"","parse-names":false,"suffix":""},{"dropping-particle":"","family":"Byeon","given":"Seong Rim","non-dropping-particle":"","parse-names":false,"suffix":""},{"dropping-particle":"","family":"Leed","given":"Marina G D","non-dropping-particle":"","parse-names":false,"suffix":""},{"dropping-particle":"","family":"Hong","given":"Jiyong","non-dropping-particle":"","parse-names":false,"suffix":""}],"container-title":"Tetrahedron Letters","id":"ITEM-3","issue":"19","issued":{"date-parts":[["2011"]]},"page":"2468-2470","publisher":"Elsevier Ltd","title":"Intramolecular Michael reactions of aliphatic aldehyde enolates generated by imidazolium carbenes","type":"article-journal","volume":"52"},"uris":["http://www.mendeley.com/documents/?uuid=376f0725-dc5f-4809-8fec-e25aa71f3c69"]},{"id":"ITEM-4","itemData":{"DOI":"10.1039/C4GC01955E","ISBN":"1463-9262","ISSN":"1463-9262","abstract":"The decomposition pathways of a series of carbohydrates dissolved in carboxylate ionic liquids have been investigated in detail using a broad range of thermal and chromatographic techniques. Mixtures of the carboxylate ionic liquid 1-ethyl-3-methylimidazolium acetate with carbohydrates were found to undergo reaction of the C2 carbon of the imidazolium ring with the aldehyde functionality on the open chain sugar, yielding an imidazolium adduct with a hydroxylated alkyl chain. Subsequently, degradation of the hydroxyalkyl chain occurs by sequential loss of formaldehyde units, to yield a terminal adduct species, 1-ethyl-2-(hydroxymethyl)-3-methylimidazolium acetate. Identities of the final and intermediate adduct species, and the reaction mechanisms connecting adducts, were elucidated by NMR, HPLC and LCMS techniques. Factors affecting the rate and quantity of adduct formation were explored. Changing the ionic liquid cation and anion, the acid number, sugar concentration and temperature influenced the rate of formation and relative quantities of the adduct species. Formation of adducts could not be entirely prevented when employing carboxylate ionic liquids. By contrast, 1-butyl-3-methylimidazolium chloride was identified as an ionic liquid capable of dissolving a significant quantity of cellulose, yet without reacting with carbohydrates.","author":[{"dropping-particle":"","family":"Clough","given":"Matthew T.","non-dropping-particle":"","parse-names":false,"suffix":""},{"dropping-particle":"","family":"Geyer","given":"Karolin","non-dropping-particle":"","parse-names":false,"suffix":""},{"dropping-particle":"","family":"Hunt","given":"Patricia A.","non-dropping-particle":"","parse-names":false,"suffix":""},{"dropping-particle":"","family":"Son","given":"Sunghee","non-dropping-particle":"","parse-names":false,"suffix":""},{"dropping-particle":"","family":"Vagt","given":"Uwe","non-dropping-particle":"","parse-names":false,"suffix":""},{"dropping-particle":"","family":"Welton","given":"Tom","non-dropping-particle":"","parse-names":false,"suffix":""}],"container-title":"Green Chem.","id":"ITEM-4","issue":"1","issued":{"date-parts":[["2015"]]},"page":"231-243","publisher":"Royal Society of Chemistry","title":"Ionic liquids: not always innocent solvents for cellulose","type":"article-journal","volume":"17"},"uris":["http://www.mendeley.com/documents/?uuid=f2f5870e-cfe5-4f36-90ce-9172e465fdcc"]},{"id":"ITEM-5","itemData":{"DOI":"10.1039/c0dt01613f","ISSN":"1477-9234","PMID":"21369614","abstract":"The new 2-phenylthiocarbamoyl-1,3-dimesitylimidazolium inner salt (IMes·CSNPh) reacts with [AuCl(L)] in the presence of NH(4)PF(6) to yield [(L)Au(SCNPh·IMes)](+) (L = PMe(3), PPh(3), PCy(3), CNBu(t)). The carbene-containing precursor [(IDip)AuCl] reacts with IMes·CSNPh under the same conditions to afford the complex [(IDip)Au(SCNPh·IMes)](+) (IDip = 1,3-bis(2,6-diisopropylphenyl)imidazol-2-ylidene). Treatment of the diphosphine complex [(dppm)(AuCl)(2)] with one equivalent of IMes·CSNPh yields the digold metallacycle, [(dppm)Au(2)(SCNPh·IMes)](2+), while reaction of [L(2)(AuCl)(2)] with two equivalents of IMes·CSNPh results in [(L(2)){Au(SCNPh·IMes)}(2)](2+) (L(2) = dppb, dppf, or dppa; dppb = 1,4-bis(diphenylphosphino)butane, dppf = 1,1'-bis(diphenylphosphino)ferrocene, dppa = 1,4-bis(diphenylphosphino)acetylene). The homoleptic complex [Au(SCNPh·IMes)(2)](+) is formed on reaction of [AuCl(tht)] (tht = tetrahydrothiophene) with two equivalents of the imidazolium-2-phenylthiocarbamoyl ligand. This product reacts with AgOTf to yield the mixed metal compound [AuAg(SCNPh·IMes)(2)](2+). Over time, the unusual trimetallic complex [Au(AgOTf)(2)(SCNPh·IMes)(2)](+) is formed. The sulfur-oxygen mixed-donor ligands IMes·COS and SIMes·COS (SIMes = 1,3-bis(2,4,6-trimethylphenyl)imidazolin-2-ylidene) were used to prepare [(L)Au(SOC·IMes)](+) and [(L)Au(SOC·SIMes)](+) from [(L)AuCl] (L = PPh(3), CN(t)Bu). The bimetallic examples [(dppf){Au(SOC·IMes)}(2)](2+) and [(dppf){Au(SOC·SIMes)}(2)](2+) were synthesized from the reaction of [(dppf)(AuCl)(2)] with the appropriate ligand. Reaction of [(tht)AuCl] with one equivalent of IMes·COS or SIMes·COS yields [Au(SOC·IMes)(2)](+) and [Au(SOC·SIMes)(2)](+), respectively. The compounds [(Ph(3)P)Au(SCNPh·IMes)]PF(6), [(Cy(3)P)Au(SCNPh·IMes)]PF(6) and [Au(AgOTf)(2)(SCNPh·IMes)(2)]OTf were characterized crystallographically.","author":[{"dropping-particle":"","family":"Chia","given":"Eugene Y","non-dropping-particle":"","parse-names":false,"suffix":""},{"dropping-particle":"","family":"Naeem","given":"Saira","non-dropping-particle":"","parse-names":false,"suffix":""},{"dropping-particle":"","family":"Delaude","given":"Lionel","non-dropping-particle":"","parse-names":false,"suffix":""},{"dropping-particle":"","family":"White","given":"Andrew J P","non-dropping-particle":"","parse-names":false,"suffix":""},{"dropping-particle":"","family":"Wilton-Ely","given":"James D E T","non-dropping-particle":"","parse-names":false,"suffix":""}],"container-title":"Dalton transactions (Cambridge, England : 2003)","id":"ITEM-5","issue":"25","issued":{"date-parts":[["2011","7","7"]]},"page":"6645-58","title":"Gold(I) complexes bearing mixed-donor ligands derived from N-heterocyclic carbenes.","type":"article-journal","volume":"40"},"uris":["http://www.mendeley.com/documents/?uuid=4d7d4b48-f66d-4b33-b282-d0164a1b83af"]},{"id":"ITEM-6","itemData":{"DOI":"10.1021/ic9021504","ISSN":"1520-510X","PMID":"20088565","abstract":"The imidazolium-2-dithiocarboxylate ligands IPr.CS(2), IMes.CS(2), and IDip.CS(2) react with [AuCl(PPh(3))] to yield [(Ph(3)P)Au(S(2)C.IPr)](+), [(Ph(3)P)Au(S(2)C.IMes)](+), and [(Ph(3)P)Au(S(2)C.IDip)](+), respectively. The compounds [(L)Au(S(2)C.IMes)](+) are prepared from the reaction of IMes.CS(2) with [AuCl(L)] (L = PMe(3), PCy(3), CN(t)Bu). The carbene-containing precursor [(IDip)AuCl] reacts with IPr.CS(2) and IMes.CS(2) to afford the complexes [(IDip)Au(S(2)C.IPr)](+) and [(IDip)Au(S(2)C.IMes)](+) with two carbene units, one bound to the metal center and the other to the dithiocarboxylate unit. Treatment of the diphosphine-gold complex [(dppm)(AuCl)(2)] with 1 equiv of IMes.CS(2) yields [(dppm)Au(2)(S(2)C.IMes)](2+), while the reaction of [L(2)(AuCl)(2)] (L(2) = dppb, dppf) with 2 equiv of IMes.CS(2) results in [(L(2)){Au(S(2)C.IMes)}(2)](2+). The homoleptic complexes [Au(S(2)C.IPr)(2)](2+), [Au(S(2)C.IMes)(2)](2+), and [Au(S(2)C.IDip)(2)](2+) are obtained from the reaction of [AuCl(tht)] with 2 equiv of the appropriate imidazolium-2-dithiocarboxylate ligand. The compounds [(Ph(3)P)Au(S(2)C.NHC)](+) (NHC = IMes, IDip) and [(IDip)Au(S(2)C.NHC)](+) (NHC = IPr, IMes) are characterized crystallographically. The IMes.CS(2) ligand is also used to prepare functionalized gold nanoparticles with diameters of 11.5 (+/-1.2) and 2.6 (+/-0.3) nm.","author":[{"dropping-particle":"","family":"Naeem","given":"Saira","non-dropping-particle":"","parse-names":false,"suffix":""},{"dropping-particle":"","family":"Delaude","given":"Lionel","non-dropping-particle":"","parse-names":false,"suffix":""},{"dropping-particle":"","family":"White","given":"Andrew J P","non-dropping-particle":"","parse-names":false,"suffix":""},{"dropping-particle":"","family":"Wilton-Ely","given":"James D E T","non-dropping-particle":"","parse-names":false,"suffix":""}],"container-title":"Inorganic chemistry","id":"ITEM-6","issue":"4","issued":{"date-parts":[["2010","2","15"]]},"page":"1784-93","title":"The use of imidazolium-2-dithiocarboxylates in the formation of gold(I) complexes and gold nanoparticles.","type":"article-journal","volume":"49"},"uris":["http://www.mendeley.com/documents/?uuid=3676cd24-f647-4044-a81a-8d575f00e302"]}],"mendeley":{"formattedCitation":"&lt;sup&gt;7,10–14&lt;/sup&gt;","plainTextFormattedCitation":"7,10–14","previouslyFormattedCitation":"&lt;sup&gt;7,10–14&lt;/sup&gt;"},"properties":{"noteIndex":0},"schema":"https://github.com/citation-style-language/schema/raw/master/csl-citation.json"}</w:instrText>
      </w:r>
      <w:r w:rsidR="00D15268">
        <w:rPr>
          <w:rStyle w:val="FootnoteReference"/>
        </w:rPr>
        <w:fldChar w:fldCharType="separate"/>
      </w:r>
      <w:r w:rsidR="00D15268" w:rsidRPr="00CB1AEF">
        <w:rPr>
          <w:bCs/>
          <w:noProof/>
          <w:vertAlign w:val="superscript"/>
          <w:lang w:val="en-US"/>
        </w:rPr>
        <w:t>7,10–14</w:t>
      </w:r>
      <w:r w:rsidR="00D15268">
        <w:rPr>
          <w:rStyle w:val="FootnoteReference"/>
        </w:rPr>
        <w:fldChar w:fldCharType="end"/>
      </w:r>
      <w:r w:rsidR="00D15268">
        <w:t xml:space="preserve"> </w:t>
      </w:r>
      <w:r w:rsidR="008768B8">
        <w:t xml:space="preserve">This </w:t>
      </w:r>
      <w:r w:rsidR="00FA326C">
        <w:t xml:space="preserve">fostered the </w:t>
      </w:r>
      <w:r w:rsidR="006945CA">
        <w:t>development of</w:t>
      </w:r>
      <w:r w:rsidR="00FA326C">
        <w:t xml:space="preserve"> </w:t>
      </w:r>
      <w:r w:rsidR="008768B8">
        <w:t xml:space="preserve">a variety of </w:t>
      </w:r>
      <w:r w:rsidR="00FA326C">
        <w:t>synthetic procedures.</w:t>
      </w:r>
      <w:r w:rsidR="00D15268" w:rsidRPr="00D15268">
        <w:rPr>
          <w:rStyle w:val="FootnoteReference"/>
        </w:rPr>
        <w:t xml:space="preserve"> </w:t>
      </w:r>
      <w:r w:rsidR="00D15268">
        <w:rPr>
          <w:rStyle w:val="FootnoteReference"/>
        </w:rPr>
        <w:fldChar w:fldCharType="begin" w:fldLock="1"/>
      </w:r>
      <w:r w:rsidR="00CF3D89">
        <w:instrText>ADDIN CSL_CITATION {"citationItems":[{"id":"ITEM-1","itemData":{"DOI":"10.1002/anie.199721621","ISSN":"0570-0833","author":[{"dropping-particle":"","family":"Herrmann","given":"Wolfgang A.","non-dropping-particle":"","parse-names":false,"suffix":""},{"dropping-particle":"","family":"Köcher","given":"Christian","non-dropping-particle":"","parse-names":false,"suffix":""}],"container-title":"Angewandte Chemie International Edition in English","id":"ITEM-1","issue":"20","issued":{"date-parts":[["1997","11","3"]]},"page":"2162-2187","title":"N-Heterocyclic Carbenes","type":"article-journal","volume":"36"},"uris":["http://www.mendeley.com/documents/?uuid=aab503df-56d5-4348-874e-badeed2e834c"]},{"id":"ITEM-2","itemData":{"author":[{"dropping-particle":"","family":"Nolan","given":"Steven P.","non-dropping-particle":"","parse-names":false,"suffix":""}],"id":"ITEM-2","issued":{"date-parts":[["2008"]]},"number":"WO2008036084A1","publisher":"Nolan, Steven P.","title":"Synthesis of 1,3-disubstituted imidazolium salts","type":"patent"},"uris":["http://www.mendeley.com/documents/?uuid=7be5fe6b-e061-4cf3-822a-fca9e0d1f37b"]},{"id":"ITEM-3","itemData":{"author":[{"dropping-particle":"","family":"Arduengo","given":"Anthony J. III","non-dropping-particle":"","parse-names":false,"suffix":""}],"id":"ITEM-3","issued":{"date-parts":[["1991"]]},"number":"US5077414","publisher":"Arduengo, Anthony J. III","title":"Preparation of 1,3-disubstituted imidazolium salts","type":"patent"},"uris":["http://www.mendeley.com/documents/?uuid=16bce043-26e8-4ce4-a908-dac2cddea39c"]}],"mendeley":{"formattedCitation":"&lt;sup&gt;9,15,16&lt;/sup&gt;","plainTextFormattedCitation":"9,15,16","previouslyFormattedCitation":"&lt;sup&gt;9,15,16&lt;/sup&gt;"},"properties":{"noteIndex":0},"schema":"https://github.com/citation-style-language/schema/raw/master/csl-citation.json"}</w:instrText>
      </w:r>
      <w:r w:rsidR="00D15268">
        <w:rPr>
          <w:rStyle w:val="FootnoteReference"/>
        </w:rPr>
        <w:fldChar w:fldCharType="separate"/>
      </w:r>
      <w:r w:rsidR="00D15268" w:rsidRPr="00CB1AEF">
        <w:rPr>
          <w:bCs/>
          <w:noProof/>
          <w:vertAlign w:val="superscript"/>
          <w:lang w:val="en-US"/>
        </w:rPr>
        <w:t>9,15,16</w:t>
      </w:r>
      <w:r w:rsidR="00D15268">
        <w:rPr>
          <w:rStyle w:val="FootnoteReference"/>
        </w:rPr>
        <w:fldChar w:fldCharType="end"/>
      </w:r>
      <w:r w:rsidR="00D15268">
        <w:t xml:space="preserve"> </w:t>
      </w:r>
      <w:r w:rsidR="00D17028">
        <w:t>In spite of</w:t>
      </w:r>
      <w:r w:rsidR="008E39E0">
        <w:t xml:space="preserve"> the importance</w:t>
      </w:r>
      <w:r w:rsidR="00896665">
        <w:t xml:space="preserve"> of </w:t>
      </w:r>
      <w:r w:rsidR="00FA326C">
        <w:t>green scalable</w:t>
      </w:r>
      <w:r w:rsidR="00D17028">
        <w:t xml:space="preserve"> synthetic</w:t>
      </w:r>
      <w:r w:rsidR="00896665">
        <w:t xml:space="preserve"> </w:t>
      </w:r>
      <w:r w:rsidR="00896665">
        <w:t>procedures</w:t>
      </w:r>
      <w:r w:rsidR="00810C4A">
        <w:t xml:space="preserve"> for ionic liquids production</w:t>
      </w:r>
      <w:r w:rsidR="008E39E0">
        <w:t xml:space="preserve">, </w:t>
      </w:r>
      <w:r w:rsidR="002E7FF3">
        <w:t xml:space="preserve">advanced </w:t>
      </w:r>
      <w:r w:rsidR="00D17028">
        <w:t>synthetic</w:t>
      </w:r>
      <w:r w:rsidR="00810C4A">
        <w:t xml:space="preserve"> </w:t>
      </w:r>
      <w:r w:rsidR="002E7FF3">
        <w:t xml:space="preserve">procedures are </w:t>
      </w:r>
      <w:r w:rsidR="001F0433">
        <w:t xml:space="preserve">only lately </w:t>
      </w:r>
      <w:r w:rsidR="002E7FF3">
        <w:t>surfacing.</w:t>
      </w:r>
      <w:r w:rsidR="00D15268" w:rsidRPr="00D15268">
        <w:rPr>
          <w:rStyle w:val="FootnoteReference"/>
        </w:rPr>
        <w:t xml:space="preserve"> </w:t>
      </w:r>
      <w:r w:rsidR="00D15268">
        <w:rPr>
          <w:rStyle w:val="FootnoteReference"/>
        </w:rPr>
        <w:fldChar w:fldCharType="begin" w:fldLock="1"/>
      </w:r>
      <w:r w:rsidR="00D15268">
        <w:instrText>ADDIN CSL_CITATION {"citationItems":[{"id":"ITEM-1","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Advances","id":"ITEM-1","issue":"11","issued":{"date-parts":[["2016"]]},"page":"8848-8859","publisher":"Royal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materials","type":"article-journal","volume":"6"},"uris":["http://www.mendeley.com/documents/?uuid=3c830a9d-312d-4351-b496-f2a082b65f8c"]},{"id":"ITEM-2","itemData":{"DOI":"10.1021/op100055f","ISBN":"1083-6160","ISSN":"1083-6160","abstract":"By making use of a modified Radziszewski reaction, it is demonstrated that water-soluble 1,3-dialkylimidazolium-based ionic liquids can be produced in good yields (70?90%) and purities (&gt;95%) starting from readily available, cost-effective monoalkylamines, glyoxal, formaldehyde, and mineral or organic acids. The homosubstituted 1,3-dialkylimidazolium salts feature high thermal stabilities similar to those of their heterosubstituted counterparts, and relatively low viscosities, thus fulfilling the requirements for solvent application. The effect of various parameters has been studied with the goal of improving yields for both the batchwise and continuous synthesis (making use of a microreactor setup), allowing for the production of a wide variety of ionic liquids and the introduction of functionalities. The applicability of these ionic liquids is demonstrated on the example of cellulose dissolution and the dehydration of fructose to 5-hydroxymethylfurfural.","author":[{"dropping-particle":"","family":"Zimmermann","given":"Johannes","non-dropping-particle":"","parse-names":false,"suffix":""},{"dropping-particle":"","family":"Ondruschka","given":"Bernd","non-dropping-particle":"","parse-names":false,"suffix":""},{"dropping-particle":"","family":"Stark","given":"Annegret","non-dropping-particle":"","parse-names":false,"suffix":""}],"container-title":"Organic Process Research &amp; Development","id":"ITEM-2","issue":"5","issued":{"date-parts":[["2010","9","17"]]},"page":"1102-1109","title":"Efficient Synthesis of 1,3-Dialkylimidazolium-Based Ionic Liquids: The Modified Continuous Radziszewski Reaction in a Microreactor Setup","type":"article-journal","volume":"14"},"uris":["http://www.mendeley.com/documents/?uuid=6dcf791e-b27d-4000-87be-c325cb35de5b"]},{"id":"ITEM-3","itemData":{"DOI":"10.1039/C7RE00028F","ISSN":"2058-9883","abstract":"Development of a new continuous flow method for preparation of ultra-pure ionic liquids; analytical verification includes highly sensitive combustion and solution calorimetry.","author":[{"dropping-particle":"","family":"Kalb","given":"Roland S.","non-dropping-particle":"","parse-names":false,"suffix":""},{"dropping-particle":"","family":"Damm","given":"Markus","non-dropping-particle":"","parse-names":false,"suffix":""},{"dropping-particle":"","family":"Verevkin","given":"Sergey P.","non-dropping-particle":"","parse-names":false,"suffix":""}],"container-title":"Reaction Chemistry &amp; Engineering","id":"ITEM-3","issue":"4","issued":{"date-parts":[["2017"]]},"page":"432-436","publisher":"Royal Society of Chemistry","title":"Carbonate Based Ionic Liquid Synthesis (CBILS®): development of the continuous flow method for preparation of ultra-pure ionic liquids","type":"article-journal","volume":"2"},"uris":["http://www.mendeley.com/documents/?uuid=c6466ed6-638f-41a0-a41c-695d1c1547c1"]},{"id":"ITEM-4","itemData":{"DOI":"10.1039/C6CP06594E","ISSN":"1463-9076","abstract":"Devolvement and experimental verification of a new quantum-chemical calculation method for the prediction of Carbonate Based Ionic liquid Synthesis (CBILS®) reactions.","author":[{"dropping-particle":"","family":"Kalb","given":"Roland S.","non-dropping-particle":"","parse-names":false,"suffix":""},{"dropping-particle":"","family":"Stepurko","given":"Elena N.","non-dropping-particle":"","parse-names":false,"suffix":""},{"dropping-particle":"","family":"Emel'yanenko","given":"Vladimir N.","non-dropping-particle":"","parse-names":false,"suffix":""},{"dropping-particle":"","family":"Verevkin","given":"Sergey P.","non-dropping-particle":"","parse-names":false,"suffix":""}],"container-title":"Physical Chemistry Chemical Physics","id":"ITEM-4","issue":"46","issued":{"date-parts":[["2016"]]},"page":"31904-31913","publisher":"Royal Society of Chemistry","title":"Carbonate based ionic liquid synthesis (CBILS®): thermodynamic analysis","type":"article-journal","volume":"18"},"uris":["http://www.mendeley.com/documents/?uuid=75fc9450-36c5-47b9-9647-590a418cd760"]},{"id":"ITEM-5","itemData":{"DOI":"10.1039/C5GC00913H","ISSN":"1463-9262","abstract":"Fully renewable pyridinium ionic liquids were synthesised via the hydrothermal decarboxylation of pyridinium zwitterions derived from furfural and amino acids in flow.","author":[{"dropping-particle":"","family":"Kirchhecker","given":"Sarah","non-dropping-particle":"","parse-names":false,"suffix":""},{"dropping-particle":"","family":"Tröger-Müller","given":"Steffen","non-dropping-particle":"","parse-names":false,"suffix":""},{"dropping-particle":"","family":"Bake","given":"Sebastian","non-dropping-particle":"","parse-names":false,"suffix":""},{"dropping-particle":"","family":"Antonietti","given":"Markus","non-dropping-particle":"","parse-names":false,"suffix":""},{"dropping-particle":"","family":"Taubert","given":"Andreas","non-dropping-particle":"","parse-names":false,"suffix":""},{"dropping-particle":"","family":"Esposito","given":"Davide","non-dropping-particle":"","parse-names":false,"suffix":""}],"container-title":"Green Chemistry","id":"ITEM-5","issue":"8","issued":{"date-parts":[["2015"]]},"page":"4151-4156","title":"Renewable pyridinium ionic liquids from the continuous hydrothermal decarboxylation of furfural-amino acid derived pyridinium zwitterions","type":"article-journal","volume":"17"},"uris":["http://www.mendeley.com/documents/?uuid=a1f7fc3d-b854-42b7-8706-28bcd3c1b26d"]},{"id":"ITEM-6","itemData":{"DOI":"10.1002/chem.200700055","ISBN":"2053480823","ISSN":"09476539","PMID":"17436353","abstract":"1,3-Dimethylimidazolium-2-carboxylate and carbonic acid have been used to prepare a 1,3-dimethylimidazolium hydrogen carbonate salt by means of a Krapcho reaction. The ability to form hydrogen carbonate azolium salts allows for them to be used as precursors for fast, efficient, environmentally benign, and halide-free syntheses of many ionic liquids by a simple, acid-base reaction of virtually any acid (inorganic, organic, and organic noncarboxylic) with a pK(a) less than that of HCO(3) (-). Additionally, the kinetics of this reaction can be accelerated by employing catalytic amounts of DMSO (a traditional Krapcho solvent used in decarboxylation reactions) to catalyze the decarboxylation. The crystal structure of 1,3-dimethylimidazolium hydrogen carbonate monohydrate is the first example of an imidazolium-based hydrogen carbonate salt. There is a strong 2D hydrogen-bonded network with facially pi-stacked imidazolium cations located in the cavities created by this framework.","author":[{"dropping-particle":"","family":"Bridges","given":"Nicholas J.","non-dropping-particle":"","parse-names":false,"suffix":""},{"dropping-particle":"","family":"Hines","given":"C. Corey","non-dropping-particle":"","parse-names":false,"suffix":""},{"dropping-particle":"","family":"Smiglak","given":"Marcin","non-dropping-particle":"","parse-names":false,"suffix":""},{"dropping-particle":"","family":"Rogers","given":"Robin D.","non-dropping-particle":"","parse-names":false,"suffix":""}],"container-title":"Chemistry - A European Journal","id":"ITEM-6","issue":"18","issued":{"date-parts":[["2007"]]},"page":"5207-5212","title":"An intermediate for the clean synthesis of ionic liquids: Isolation and crystal structure of 1,3-dimethylimidazolium hydrogen carbonate monohydrate","type":"article-journal","volume":"13"},"uris":["http://www.mendeley.com/documents/?uuid=5c94d48e-652c-4ef3-965a-b687d9b9dab2"]},{"id":"ITEM-7","itemData":{"DOI":"10.1002/ejoc.201800925","abstract":"An easily upscalable synthesis method for 1,2,3-triazolium ionic liquids is presented. Several ionic liquids were synthesized and characterized. The influence of the side chain structure on the base-stability was investigated. One example, functionalized with linear alkyl side chains, was found to exhibit excellent stability against hot concentrated NaOH solutions and Grignard reagents.","author":[{"dropping-particle":"","family":"Raiguel","given":"Stijn","non-dropping-particle":"","parse-names":false,"suffix":""},{"dropping-particle":"","family":"Thomas","given":"Joice","non-dropping-particle":"","parse-names":false,"suffix":""},{"dropping-particle":"","family":"Binnemans","given":"Koen","non-dropping-particle":"","parse-names":false,"suffix":""},{"dropping-particle":"","family":"Dehaen","given":"Wim","non-dropping-particle":"","parse-names":false,"suffix":""}],"container-title":"European Journal of Organic Chemistry","id":"ITEM-7","issue":"35","issued":{"date-parts":[["2018"]]},"page":"4850-4856","title":"Multi-Gram Scale Synthesis of 1,2,3-Triazolium Ionic Liquids and Assay of Their Resistance towards Bases","type":"article-journal","volume":"2018"},"uris":["http://www.mendeley.com/documents/?uuid=28975401-125b-4aec-bb2e-6b8e6124de5d"]},{"id":"ITEM-8","itemData":{"DOI":"10.1039/C9OB02237F","ISSN":"1477-0520","abstract":"Linear aldehydes were used as green precursors in the synthesis of beta-branched aldehydes. Then, the branched aldehydes were converted to tertiary amines and ammonium ILs.","author":[{"dropping-particle":"","family":"Damilano","given":"Giacomo","non-dropping-particle":"","parse-names":false,"suffix":""},{"dropping-particle":"","family":"Binnemans","given":"Koen","non-dropping-particle":"","parse-names":false,"suffix":""},{"dropping-particle":"","family":"Dehaen","given":"Wim","non-dropping-particle":"","parse-names":false,"suffix":""}],"container-title":"Organic &amp; Biomolecular Chemistry","id":"ITEM-8","issue":"45","issued":{"date-parts":[["2019"]]},"page":"9778-9791","publisher":"The Royal Society of Chemistry","title":"Synthesis of Guerbet ionic liquids and extractants as β-branched biosourceable hydrophobes","type":"article-journal","volume":"17"},"uris":["http://www.mendeley.com/documents/?uuid=9ed1cdac-60f5-424c-89d4-937d592e38b0"]}],"mendeley":{"formattedCitation":"&lt;sup&gt;17–24&lt;/sup&gt;","plainTextFormattedCitation":"17–24","previouslyFormattedCitation":"&lt;sup&gt;17–24&lt;/sup&gt;"},"properties":{"noteIndex":0},"schema":"https://github.com/citation-style-language/schema/raw/master/csl-citation.json"}</w:instrText>
      </w:r>
      <w:r w:rsidR="00D15268">
        <w:rPr>
          <w:rStyle w:val="FootnoteReference"/>
        </w:rPr>
        <w:fldChar w:fldCharType="separate"/>
      </w:r>
      <w:r w:rsidR="00D15268" w:rsidRPr="00CB1AEF">
        <w:rPr>
          <w:bCs/>
          <w:noProof/>
          <w:vertAlign w:val="superscript"/>
          <w:lang w:val="en-US"/>
        </w:rPr>
        <w:t>17–24</w:t>
      </w:r>
      <w:r w:rsidR="00D15268">
        <w:rPr>
          <w:rStyle w:val="FootnoteReference"/>
        </w:rPr>
        <w:fldChar w:fldCharType="end"/>
      </w:r>
    </w:p>
    <w:tbl>
      <w:tblPr>
        <w:tblStyle w:val="TableGrid"/>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79"/>
      </w:tblGrid>
      <w:tr w:rsidR="00B94D23" w14:paraId="7BA9ADD9" w14:textId="77777777" w:rsidTr="00B94D23">
        <w:trPr>
          <w:trHeight w:val="1129"/>
        </w:trPr>
        <w:tc>
          <w:tcPr>
            <w:tcW w:w="5000" w:type="pct"/>
            <w:vAlign w:val="center"/>
          </w:tcPr>
          <w:p w14:paraId="5596222B" w14:textId="6DDC7251" w:rsidR="00B94D23" w:rsidRDefault="00721C96" w:rsidP="00B94D23">
            <w:pPr>
              <w:pStyle w:val="RSCI03FigureSchemeChartUncaptioned"/>
            </w:pPr>
            <w:r>
              <w:pict w14:anchorId="1B999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52.9pt">
                  <v:imagedata r:id="rId14" o:title=""/>
                </v:shape>
              </w:pict>
            </w:r>
          </w:p>
        </w:tc>
      </w:tr>
      <w:tr w:rsidR="00B94D23" w14:paraId="2D07E86E" w14:textId="77777777" w:rsidTr="00B94D23">
        <w:tc>
          <w:tcPr>
            <w:tcW w:w="5000" w:type="pct"/>
          </w:tcPr>
          <w:p w14:paraId="377F630E" w14:textId="15D0520E" w:rsidR="00B94D23" w:rsidRPr="00AC4747" w:rsidRDefault="00B94D23" w:rsidP="0068309B">
            <w:pPr>
              <w:pStyle w:val="RSCI05CaptiontoFigureSchemeChartwithbottombar"/>
            </w:pPr>
            <w:bookmarkStart w:id="1" w:name="_Ref27747073"/>
            <w:r>
              <w:t xml:space="preserve">Scheme </w:t>
            </w:r>
            <w:r w:rsidR="00C61A9E">
              <w:rPr>
                <w:noProof/>
              </w:rPr>
              <w:t>1</w:t>
            </w:r>
            <w:bookmarkEnd w:id="1"/>
            <w:r>
              <w:t xml:space="preserve">. </w:t>
            </w:r>
            <w:r w:rsidRPr="0088210F">
              <w:t xml:space="preserve">General reaction scheme of </w:t>
            </w:r>
            <w:r>
              <w:t xml:space="preserve">the </w:t>
            </w:r>
            <w:r w:rsidR="00EB5A8E" w:rsidRPr="00EB5A8E">
              <w:t xml:space="preserve">Menshutkin </w:t>
            </w:r>
            <w:r>
              <w:t>reaction</w:t>
            </w:r>
            <w:r w:rsidRPr="0088210F">
              <w:t>.</w:t>
            </w:r>
          </w:p>
        </w:tc>
      </w:tr>
    </w:tbl>
    <w:p w14:paraId="0A566A36" w14:textId="6C981E32" w:rsidR="006945CA" w:rsidRDefault="001776E6" w:rsidP="000B50FA">
      <w:pPr>
        <w:pStyle w:val="RSCB02ArticleText"/>
      </w:pPr>
      <w:r>
        <w:t xml:space="preserve">For example, </w:t>
      </w:r>
      <w:r w:rsidR="00A3541D">
        <w:t>i</w:t>
      </w:r>
      <w:r w:rsidR="002E7FF3">
        <w:t xml:space="preserve">midazolium ionic liquids </w:t>
      </w:r>
      <w:r w:rsidR="00305730">
        <w:t xml:space="preserve">synthesis is </w:t>
      </w:r>
      <w:r w:rsidR="009C7751">
        <w:t>generally</w:t>
      </w:r>
      <w:r w:rsidR="002E7FF3">
        <w:t xml:space="preserve"> </w:t>
      </w:r>
      <w:r w:rsidR="00486673">
        <w:t>carried out</w:t>
      </w:r>
      <w:r w:rsidR="00305730">
        <w:t xml:space="preserve"> </w:t>
      </w:r>
      <w:r w:rsidR="002E7FF3">
        <w:t xml:space="preserve">via a </w:t>
      </w:r>
      <w:r w:rsidR="00EB5A8E" w:rsidRPr="00EB5A8E">
        <w:t>Menshutkin</w:t>
      </w:r>
      <w:r w:rsidR="00EB5A8E">
        <w:t xml:space="preserve"> </w:t>
      </w:r>
      <w:r w:rsidR="00FA326C">
        <w:t>reaction between an N-alkyl imidazole and an alkyl halide</w:t>
      </w:r>
      <w:r w:rsidR="00831782">
        <w:t xml:space="preserve"> (</w:t>
      </w:r>
      <w:r w:rsidR="00C61A9E">
        <w:t xml:space="preserve">Scheme </w:t>
      </w:r>
      <w:r w:rsidR="00C61A9E">
        <w:rPr>
          <w:noProof/>
        </w:rPr>
        <w:t>1</w:t>
      </w:r>
      <w:r w:rsidR="00831782">
        <w:t>)</w:t>
      </w:r>
      <w:r w:rsidR="00AA760B">
        <w:t>.</w:t>
      </w:r>
      <w:r w:rsidR="009E04FA">
        <w:t xml:space="preserve"> </w:t>
      </w:r>
      <w:r w:rsidR="00AA760B">
        <w:t>Quarternisation</w:t>
      </w:r>
      <w:r w:rsidR="0070093A">
        <w:t xml:space="preserve"> </w:t>
      </w:r>
      <w:r w:rsidR="00431A4C">
        <w:t xml:space="preserve">is </w:t>
      </w:r>
      <w:r w:rsidR="000A43D3">
        <w:t>usually</w:t>
      </w:r>
      <w:r w:rsidR="00AA760B">
        <w:t xml:space="preserve"> </w:t>
      </w:r>
      <w:r w:rsidR="00097710">
        <w:t xml:space="preserve">attained </w:t>
      </w:r>
      <w:r w:rsidR="00AA760B">
        <w:t>via a</w:t>
      </w:r>
      <w:r w:rsidR="00FA326C">
        <w:t xml:space="preserve"> bimolecular nucleophilic substitution</w:t>
      </w:r>
      <w:r w:rsidR="000655BA">
        <w:t xml:space="preserve"> </w:t>
      </w:r>
      <w:r w:rsidR="00FA326C">
        <w:t>(S</w:t>
      </w:r>
      <w:r w:rsidR="00FA326C" w:rsidRPr="00FA326C">
        <w:rPr>
          <w:vertAlign w:val="subscript"/>
        </w:rPr>
        <w:t>N</w:t>
      </w:r>
      <w:r w:rsidR="00FA326C">
        <w:t>2)</w:t>
      </w:r>
      <w:r w:rsidR="000D0CB3">
        <w:t xml:space="preserve"> </w:t>
      </w:r>
      <w:r w:rsidR="00FA326C">
        <w:t>between a</w:t>
      </w:r>
      <w:r w:rsidR="00EB5A8E">
        <w:t xml:space="preserve">n imidazole </w:t>
      </w:r>
      <w:r w:rsidR="00FA326C">
        <w:t xml:space="preserve">and an </w:t>
      </w:r>
      <w:r w:rsidR="00AA760B">
        <w:t>alkylation agent (often an alkyl halide)</w:t>
      </w:r>
      <w:r w:rsidR="00A36D14">
        <w:t xml:space="preserve">, which results </w:t>
      </w:r>
      <w:r w:rsidR="000D0CB3">
        <w:t xml:space="preserve">in the formation of an </w:t>
      </w:r>
      <w:r w:rsidR="00431A4C" w:rsidRPr="00431A4C">
        <w:t xml:space="preserve">imidazolium </w:t>
      </w:r>
      <w:r w:rsidR="00AA760B">
        <w:t>salt</w:t>
      </w:r>
      <w:r w:rsidR="000D0CB3">
        <w:t xml:space="preserve">. </w:t>
      </w:r>
      <w:r w:rsidR="005A2E12">
        <w:t>This synthetic pathway is</w:t>
      </w:r>
      <w:r w:rsidR="00FA326C">
        <w:t xml:space="preserve"> hardly sustainable,</w:t>
      </w:r>
      <w:r w:rsidR="00FA326C" w:rsidRPr="00FA326C">
        <w:t xml:space="preserve"> </w:t>
      </w:r>
      <w:r w:rsidR="00FA326C">
        <w:t>both economically and environmentally</w:t>
      </w:r>
      <w:r w:rsidR="005A2E12">
        <w:t xml:space="preserve">. </w:t>
      </w:r>
      <w:r w:rsidR="009832FD">
        <w:t>Moreover,</w:t>
      </w:r>
      <w:r w:rsidR="000A43D3">
        <w:t xml:space="preserve"> the</w:t>
      </w:r>
      <w:r w:rsidR="009832FD">
        <w:t xml:space="preserve"> q</w:t>
      </w:r>
      <w:r w:rsidR="00AA760B">
        <w:t>uarternisation</w:t>
      </w:r>
      <w:r w:rsidR="005A2E12">
        <w:t xml:space="preserve"> reaction </w:t>
      </w:r>
      <w:r w:rsidR="00097710">
        <w:t xml:space="preserve">often </w:t>
      </w:r>
      <w:r w:rsidR="005A2E12">
        <w:t>involves</w:t>
      </w:r>
      <w:r w:rsidR="00FA326C">
        <w:t xml:space="preserve"> </w:t>
      </w:r>
      <w:r w:rsidR="000D0CB3">
        <w:t xml:space="preserve">the use of </w:t>
      </w:r>
      <w:r w:rsidR="005A2E12">
        <w:t xml:space="preserve">costly hazardous </w:t>
      </w:r>
      <w:r w:rsidR="00AA760B">
        <w:t>and harmful c</w:t>
      </w:r>
      <w:r w:rsidR="000D0CB3">
        <w:t>hemicals, polar organic solvents, and elevated temperatures</w:t>
      </w:r>
      <w:r w:rsidR="005A2E12">
        <w:t xml:space="preserve"> for long reaction times</w:t>
      </w:r>
      <w:r w:rsidR="006945CA">
        <w:t>,</w:t>
      </w:r>
      <w:r w:rsidR="005A2E12">
        <w:t xml:space="preserve"> which are condition</w:t>
      </w:r>
      <w:r w:rsidR="00D17028">
        <w:t>s not amenable to</w:t>
      </w:r>
      <w:r w:rsidR="005A2E12">
        <w:t xml:space="preserve"> an industrial scale </w:t>
      </w:r>
      <w:r w:rsidR="006945CA">
        <w:t>procedure</w:t>
      </w:r>
      <w:r w:rsidR="000D0CB3">
        <w:t>.</w:t>
      </w:r>
    </w:p>
    <w:p w14:paraId="219A32F7" w14:textId="42DEF0AA" w:rsidR="0070093A" w:rsidRDefault="00246519" w:rsidP="000B50FA">
      <w:pPr>
        <w:pStyle w:val="RSCB02ArticleText"/>
      </w:pPr>
      <w:r>
        <w:t>Moreover</w:t>
      </w:r>
      <w:r w:rsidR="00FA326C">
        <w:t xml:space="preserve">, if the </w:t>
      </w:r>
      <w:r w:rsidR="00AA760B">
        <w:t xml:space="preserve">targeted </w:t>
      </w:r>
      <w:r w:rsidR="00305730">
        <w:t>anion</w:t>
      </w:r>
      <w:r w:rsidR="00FA326C">
        <w:t xml:space="preserve"> is not the </w:t>
      </w:r>
      <w:r w:rsidR="00AA760B">
        <w:t>leaving group of the alkylation agent</w:t>
      </w:r>
      <w:r w:rsidR="00FA326C">
        <w:t xml:space="preserve">, it is impractical to </w:t>
      </w:r>
      <w:r w:rsidR="007479C9">
        <w:t xml:space="preserve">eventually </w:t>
      </w:r>
      <w:r w:rsidR="00FA326C">
        <w:t xml:space="preserve">exchange </w:t>
      </w:r>
      <w:r w:rsidR="00305730">
        <w:t>it</w:t>
      </w:r>
      <w:r w:rsidR="00FA326C">
        <w:t xml:space="preserve"> with another </w:t>
      </w:r>
      <w:r w:rsidR="00305730">
        <w:t>one</w:t>
      </w:r>
      <w:r w:rsidR="00FA326C">
        <w:t xml:space="preserve">. </w:t>
      </w:r>
      <w:r w:rsidR="00872700">
        <w:t>A</w:t>
      </w:r>
      <w:r w:rsidR="00FA326C">
        <w:t xml:space="preserve"> near</w:t>
      </w:r>
      <w:r w:rsidR="000A43D3">
        <w:t>ly</w:t>
      </w:r>
      <w:r w:rsidR="00FA326C">
        <w:t xml:space="preserve"> complete exchange </w:t>
      </w:r>
      <w:r w:rsidR="00872700">
        <w:t xml:space="preserve">can be attained </w:t>
      </w:r>
      <w:r w:rsidR="00810C4A">
        <w:t xml:space="preserve">via </w:t>
      </w:r>
      <w:r w:rsidR="000F4855">
        <w:t>forc</w:t>
      </w:r>
      <w:r w:rsidR="00872700">
        <w:t>ing</w:t>
      </w:r>
      <w:r w:rsidR="00305730">
        <w:t xml:space="preserve"> the reaction equilibrium</w:t>
      </w:r>
      <w:r w:rsidR="00AA760B">
        <w:t>. A common way to proceed is</w:t>
      </w:r>
      <w:r w:rsidR="00872700">
        <w:t xml:space="preserve"> </w:t>
      </w:r>
      <w:r w:rsidR="00305730">
        <w:t xml:space="preserve">via </w:t>
      </w:r>
      <w:r w:rsidR="00AA760B">
        <w:t xml:space="preserve">an </w:t>
      </w:r>
      <w:r w:rsidR="00872700">
        <w:t xml:space="preserve">halide precipitation with </w:t>
      </w:r>
      <w:r w:rsidR="00FA326C">
        <w:t>silver salts</w:t>
      </w:r>
      <w:r w:rsidR="00C659CB">
        <w:t xml:space="preserve"> (when the anion is a halide)</w:t>
      </w:r>
      <w:r w:rsidR="00872700">
        <w:t>.</w:t>
      </w:r>
      <w:r w:rsidR="00D15268">
        <w:fldChar w:fldCharType="begin" w:fldLock="1"/>
      </w:r>
      <w:r w:rsidR="00CF3D89">
        <w:instrText>ADDIN CSL_CITATION {"citationItems":[{"id":"ITEM-1","itemData":{"author":[{"dropping-particle":"","family":"Wasserscheid","given":"P","non-dropping-particle":"","parse-names":false,"suffix":""},{"dropping-particle":"","family":"Welton","given":"T","non-dropping-particle":"","parse-names":false,"suffix":""}],"editor":[{"dropping-particle":"","family":"Wasserscheid","given":"Peter","non-dropping-particle":"","parse-names":false,"suffix":""},{"dropping-particle":"","family":"Welton","given":"Thomas","non-dropping-particle":"","parse-names":false,"suffix":""}],"id":"ITEM-1","issued":{"date-parts":[["2008"]]},"note":"ID: RS_33527305157ionicliquidsinsynthesis","publisher":"Wiley-VCH Verlag GmbH &amp; Co. KGaA","publisher-place":"Weinheim, Germany","title":"Ionic liquids in synthesis","type":"book"},"uris":["http://www.mendeley.com/documents/?uuid=97fb3117-5ed6-4af8-9e1d-0e0cefdd52e9"]}],"mendeley":{"formattedCitation":"&lt;sup&gt;25&lt;/sup&gt;","plainTextFormattedCitation":"25","previouslyFormattedCitation":"&lt;sup&gt;25&lt;/sup&gt;"},"properties":{"noteIndex":0},"schema":"https://github.com/citation-style-language/schema/raw/master/csl-citation.json"}</w:instrText>
      </w:r>
      <w:r w:rsidR="00D15268">
        <w:fldChar w:fldCharType="separate"/>
      </w:r>
      <w:r w:rsidR="00D15268" w:rsidRPr="00F07618">
        <w:rPr>
          <w:noProof/>
          <w:vertAlign w:val="superscript"/>
        </w:rPr>
        <w:t>25</w:t>
      </w:r>
      <w:r w:rsidR="00D15268">
        <w:fldChar w:fldCharType="end"/>
      </w:r>
      <w:r w:rsidR="00872700">
        <w:t xml:space="preserve"> </w:t>
      </w:r>
      <w:r w:rsidR="0057352D">
        <w:t>However</w:t>
      </w:r>
      <w:r w:rsidR="00872700">
        <w:t>, silver salts are</w:t>
      </w:r>
      <w:r w:rsidR="00FA326C">
        <w:t xml:space="preserve"> </w:t>
      </w:r>
      <w:r w:rsidR="009E04FA">
        <w:t>expansive</w:t>
      </w:r>
      <w:r w:rsidR="00FA326C">
        <w:t xml:space="preserve"> </w:t>
      </w:r>
      <w:r w:rsidR="0057352D">
        <w:t xml:space="preserve">both in purchase and because of the need for </w:t>
      </w:r>
      <w:r w:rsidR="006945CA">
        <w:t xml:space="preserve">appropriate </w:t>
      </w:r>
      <w:r w:rsidR="009E04FA">
        <w:t xml:space="preserve">recycling </w:t>
      </w:r>
      <w:r w:rsidR="00810C4A">
        <w:t>procedures</w:t>
      </w:r>
      <w:r w:rsidR="00FA326C">
        <w:t>.</w:t>
      </w:r>
      <w:r>
        <w:t xml:space="preserve"> </w:t>
      </w:r>
      <w:r w:rsidR="000A43D3">
        <w:t>Even so</w:t>
      </w:r>
      <w:r>
        <w:t xml:space="preserve">, </w:t>
      </w:r>
      <w:r w:rsidR="00AA760B">
        <w:t xml:space="preserve">salt </w:t>
      </w:r>
      <w:r>
        <w:t xml:space="preserve">metathesis </w:t>
      </w:r>
      <w:r w:rsidR="007479C9">
        <w:t xml:space="preserve">rarely </w:t>
      </w:r>
      <w:r w:rsidR="00810C4A">
        <w:t>r</w:t>
      </w:r>
      <w:r w:rsidR="00AA760B">
        <w:t>esult</w:t>
      </w:r>
      <w:r w:rsidR="00810C4A">
        <w:t>s</w:t>
      </w:r>
      <w:r w:rsidR="00AA760B">
        <w:t xml:space="preserve"> in the material </w:t>
      </w:r>
      <w:r w:rsidR="00810C4A">
        <w:t>devoid of</w:t>
      </w:r>
      <w:r w:rsidR="00AA760B">
        <w:t xml:space="preserve"> </w:t>
      </w:r>
      <w:r>
        <w:t>trace</w:t>
      </w:r>
      <w:r w:rsidR="000655BA">
        <w:t xml:space="preserve"> impurities</w:t>
      </w:r>
      <w:r w:rsidR="00C659CB">
        <w:t>,</w:t>
      </w:r>
      <w:r>
        <w:t xml:space="preserve"> </w:t>
      </w:r>
      <w:r w:rsidR="00C659CB">
        <w:t xml:space="preserve">which </w:t>
      </w:r>
      <w:r w:rsidR="00810C4A">
        <w:t>are often influential</w:t>
      </w:r>
      <w:r w:rsidR="00AA760B">
        <w:t xml:space="preserve"> </w:t>
      </w:r>
      <w:r w:rsidR="00810C4A">
        <w:t>i</w:t>
      </w:r>
      <w:r w:rsidR="00AA760B">
        <w:t xml:space="preserve">n the final </w:t>
      </w:r>
      <w:r w:rsidR="00810C4A">
        <w:t xml:space="preserve">use of the </w:t>
      </w:r>
      <w:r w:rsidR="00AA760B">
        <w:t>product</w:t>
      </w:r>
      <w:r>
        <w:t>.</w:t>
      </w:r>
      <w:r w:rsidR="00982684">
        <w:t xml:space="preserve"> </w:t>
      </w:r>
      <w:r w:rsidR="00810C4A">
        <w:t xml:space="preserve">This can be detrimental to some applications. For example, </w:t>
      </w:r>
      <w:r w:rsidR="00982684">
        <w:t>trace halides can deact</w:t>
      </w:r>
      <w:r w:rsidR="00810C4A">
        <w:t>ivate a</w:t>
      </w:r>
      <w:r w:rsidR="009E04FA">
        <w:t>n expensive metal</w:t>
      </w:r>
      <w:r w:rsidR="00810C4A">
        <w:t xml:space="preserve">, impeding </w:t>
      </w:r>
      <w:r w:rsidR="00AA760B">
        <w:t xml:space="preserve">the </w:t>
      </w:r>
      <w:r w:rsidR="00982684">
        <w:t xml:space="preserve">use </w:t>
      </w:r>
      <w:r w:rsidR="00AA760B">
        <w:t>of reactive metals and metal complexes</w:t>
      </w:r>
      <w:r w:rsidR="00810C4A">
        <w:t xml:space="preserve"> in such poisoned media</w:t>
      </w:r>
      <w:r w:rsidR="00982684">
        <w:t>.</w:t>
      </w:r>
      <w:r w:rsidR="00023A1B">
        <w:t xml:space="preserve"> Hence</w:t>
      </w:r>
      <w:r w:rsidR="007F3297">
        <w:t xml:space="preserve">, </w:t>
      </w:r>
      <w:r w:rsidR="000F4855">
        <w:t>this path</w:t>
      </w:r>
      <w:r w:rsidR="007F3297">
        <w:t xml:space="preserve"> is not </w:t>
      </w:r>
      <w:r w:rsidR="000A43D3">
        <w:t>suitable</w:t>
      </w:r>
      <w:r w:rsidR="006945CA">
        <w:t xml:space="preserve"> as</w:t>
      </w:r>
      <w:r w:rsidR="002E7FF3">
        <w:t xml:space="preserve"> </w:t>
      </w:r>
      <w:r w:rsidR="00810C4A">
        <w:t xml:space="preserve">a </w:t>
      </w:r>
      <w:r w:rsidR="00872700">
        <w:t xml:space="preserve">generic </w:t>
      </w:r>
      <w:r w:rsidR="002E7FF3">
        <w:t xml:space="preserve">green </w:t>
      </w:r>
      <w:r w:rsidR="007F3297">
        <w:t xml:space="preserve">synthetic </w:t>
      </w:r>
      <w:r w:rsidR="002E7FF3">
        <w:t xml:space="preserve">procedure </w:t>
      </w:r>
      <w:r w:rsidR="006945CA">
        <w:t>with a</w:t>
      </w:r>
      <w:r w:rsidR="002E7FF3">
        <w:t xml:space="preserve"> </w:t>
      </w:r>
      <w:r w:rsidR="002657C9">
        <w:t>wide</w:t>
      </w:r>
      <w:r w:rsidR="002E7FF3">
        <w:t xml:space="preserve"> applicability.</w:t>
      </w:r>
    </w:p>
    <w:p w14:paraId="2F609D88" w14:textId="6F26FBC3" w:rsidR="00EA6BC0" w:rsidRDefault="00EE5E61" w:rsidP="000B50FA">
      <w:pPr>
        <w:pStyle w:val="RSCB02ArticleText"/>
      </w:pPr>
      <w:r>
        <w:t xml:space="preserve">In a recent study, the </w:t>
      </w:r>
      <w:r w:rsidR="00C53821" w:rsidRPr="00C53821">
        <w:t>Debus</w:t>
      </w:r>
      <w:r w:rsidR="00C53821">
        <w:sym w:font="Symbol" w:char="F02D"/>
      </w:r>
      <w:r w:rsidR="00C53821" w:rsidRPr="00C53821">
        <w:t>Radziszewski</w:t>
      </w:r>
      <w:r w:rsidR="00C53821">
        <w:t xml:space="preserve"> </w:t>
      </w:r>
      <w:r>
        <w:t xml:space="preserve">imidazole synthesis was </w:t>
      </w:r>
      <w:r w:rsidR="009E04FA">
        <w:t>modified</w:t>
      </w:r>
      <w:r>
        <w:t xml:space="preserve"> to yield directly imidazolium ionic </w:t>
      </w:r>
      <w:r>
        <w:lastRenderedPageBreak/>
        <w:t>liquids in flow.</w:t>
      </w:r>
      <w:r w:rsidR="00D15268">
        <w:rPr>
          <w:rStyle w:val="FootnoteReference"/>
        </w:rPr>
        <w:fldChar w:fldCharType="begin" w:fldLock="1"/>
      </w:r>
      <w:r w:rsidR="00CF3D89">
        <w:instrText>ADDIN CSL_CITATION {"citationItems":[{"id":"ITEM-1","itemData":{"DOI":"10.1021/op100055f","ISBN":"1083-6160","ISSN":"1083-6160","abstract":"By making use of a modified Radziszewski reaction, it is demonstrated that water-soluble 1,3-dialkylimidazolium-based ionic liquids can be produced in good yields (70?90%) and purities (&gt;95%) starting from readily available, cost-effective monoalkylamines, glyoxal, formaldehyde, and mineral or organic acids. The homosubstituted 1,3-dialkylimidazolium salts feature high thermal stabilities similar to those of their heterosubstituted counterparts, and relatively low viscosities, thus fulfilling the requirements for solvent application. The effect of various parameters has been studied with the goal of improving yields for both the batchwise and continuous synthesis (making use of a microreactor setup), allowing for the production of a wide variety of ionic liquids and the introduction of functionalities. The applicability of these ionic liquids is demonstrated on the example of cellulose dissolution and the dehydration of fructose to 5-hydroxymethylfurfural.","author":[{"dropping-particle":"","family":"Zimmermann","given":"Johannes","non-dropping-particle":"","parse-names":false,"suffix":""},{"dropping-particle":"","family":"Ondruschka","given":"Bernd","non-dropping-particle":"","parse-names":false,"suffix":""},{"dropping-particle":"","family":"Stark","given":"Annegret","non-dropping-particle":"","parse-names":false,"suffix":""}],"container-title":"Organic Process Research &amp; Development","id":"ITEM-1","issue":"5","issued":{"date-parts":[["2010","9","17"]]},"page":"1102-1109","title":"Efficient Synthesis of 1,3-Dialkylimidazolium-Based Ionic Liquids: The Modified Continuous Radziszewski Reaction in a Microreactor Setup","type":"article-journal","volume":"14"},"uris":["http://www.mendeley.com/documents/?uuid=6dcf791e-b27d-4000-87be-c325cb35de5b"]},{"id":"ITEM-2","itemData":{"author":[{"dropping-particle":"","family":"Arduengo","given":"Anthony J.","non-dropping-particle":"","parse-names":false,"suffix":""},{"dropping-particle":"","family":"Gentry","given":"Frederick P. Jr.","non-dropping-particle":"","parse-names":false,"suffix":""},{"dropping-particle":"","family":"Taverkere","given":"Prakash K.","non-dropping-particle":"","parse-names":false,"suffix":""},{"dropping-particle":"","family":"Simmons","given":"Howard E.","non-dropping-particle":"","parse-names":false,"suffix":""}],"id":"ITEM-2","issue":"12","issued":{"date-parts":[["2007"]]},"number":"US6177575","publisher":"Arduengo, Anthony J.","publisher-place":"US","title":"Process for manifacture of imidazoles","type":"patent"},"uris":["http://www.mendeley.com/documents/?uuid=ee50db09-1f1e-4b9c-83bc-4e02bb186219"]}],"mendeley":{"formattedCitation":"&lt;sup&gt;18,26&lt;/sup&gt;","plainTextFormattedCitation":"18,26","previouslyFormattedCitation":"&lt;sup&gt;18,26&lt;/sup&gt;"},"properties":{"noteIndex":0},"schema":"https://github.com/citation-style-language/schema/raw/master/csl-citation.json"}</w:instrText>
      </w:r>
      <w:r w:rsidR="00D15268">
        <w:rPr>
          <w:rStyle w:val="FootnoteReference"/>
        </w:rPr>
        <w:fldChar w:fldCharType="separate"/>
      </w:r>
      <w:r w:rsidR="00D15268" w:rsidRPr="00F07618">
        <w:rPr>
          <w:noProof/>
          <w:vertAlign w:val="superscript"/>
        </w:rPr>
        <w:t>18,26</w:t>
      </w:r>
      <w:r w:rsidR="00D15268">
        <w:rPr>
          <w:rStyle w:val="FootnoteReference"/>
        </w:rPr>
        <w:fldChar w:fldCharType="end"/>
      </w:r>
      <w:r>
        <w:t xml:space="preserve"> </w:t>
      </w:r>
      <w:r w:rsidR="009E04FA">
        <w:t xml:space="preserve">The </w:t>
      </w:r>
      <w:r w:rsidR="00C53821" w:rsidRPr="00C53821">
        <w:t>Debus</w:t>
      </w:r>
      <w:r w:rsidR="00C53821">
        <w:sym w:font="Symbol" w:char="F02D"/>
      </w:r>
      <w:r w:rsidR="00C53821" w:rsidRPr="00C53821">
        <w:t>Radziszewski</w:t>
      </w:r>
      <w:r w:rsidR="00823314">
        <w:t xml:space="preserve"> reaction is a </w:t>
      </w:r>
      <w:r w:rsidR="00D55095">
        <w:t>four</w:t>
      </w:r>
      <w:r w:rsidR="00823314">
        <w:t xml:space="preserve"> component one</w:t>
      </w:r>
      <w:r w:rsidR="00246519">
        <w:t>-</w:t>
      </w:r>
      <w:r w:rsidR="00823314">
        <w:t xml:space="preserve">pot cycloaddition </w:t>
      </w:r>
      <w:r w:rsidR="00565E26">
        <w:t>directed to the synthesis of imidazoles</w:t>
      </w:r>
      <w:r w:rsidR="00947540">
        <w:t xml:space="preserve"> (</w:t>
      </w:r>
      <w:r w:rsidR="00C61A9E">
        <w:t xml:space="preserve">Scheme </w:t>
      </w:r>
      <w:r w:rsidR="00C61A9E">
        <w:rPr>
          <w:noProof/>
        </w:rPr>
        <w:t>2</w:t>
      </w:r>
      <w:r w:rsidR="00947540">
        <w:t>)</w:t>
      </w:r>
      <w:r w:rsidR="00823314">
        <w:t>.</w:t>
      </w:r>
      <w:r w:rsidR="00565E26">
        <w:t xml:space="preserve"> The reaction </w:t>
      </w:r>
      <w:r w:rsidR="00246519">
        <w:t xml:space="preserve">was </w:t>
      </w:r>
      <w:r w:rsidR="00D14215">
        <w:t xml:space="preserve">developed in the </w:t>
      </w:r>
      <w:r w:rsidR="00D55095">
        <w:t>188</w:t>
      </w:r>
      <w:r w:rsidR="009A3BB0">
        <w:t>0s</w:t>
      </w:r>
      <w:r w:rsidR="00D14215">
        <w:t xml:space="preserve"> </w:t>
      </w:r>
      <w:r w:rsidR="00246519">
        <w:t>and it</w:t>
      </w:r>
      <w:r w:rsidR="00872700">
        <w:t>s</w:t>
      </w:r>
      <w:r w:rsidR="00246519">
        <w:t xml:space="preserve"> </w:t>
      </w:r>
      <w:r w:rsidR="007479C9">
        <w:t>wide</w:t>
      </w:r>
      <w:r w:rsidR="00D14215">
        <w:t xml:space="preserve"> scope</w:t>
      </w:r>
      <w:r w:rsidR="00565E26">
        <w:t xml:space="preserve"> </w:t>
      </w:r>
      <w:r w:rsidR="00872700">
        <w:t xml:space="preserve">has been </w:t>
      </w:r>
      <w:r w:rsidR="007479C9">
        <w:t>amply</w:t>
      </w:r>
      <w:r w:rsidR="00872700">
        <w:t xml:space="preserve"> studied</w:t>
      </w:r>
      <w:r w:rsidR="00B7658C">
        <w:t>,</w:t>
      </w:r>
      <w:r w:rsidR="00872700">
        <w:t xml:space="preserve"> </w:t>
      </w:r>
      <w:r w:rsidR="00565E26">
        <w:t xml:space="preserve">but </w:t>
      </w:r>
      <w:r w:rsidR="009E04FA">
        <w:t>the reaction gives often</w:t>
      </w:r>
      <w:r w:rsidR="00C659CB">
        <w:t xml:space="preserve"> rather</w:t>
      </w:r>
      <w:r w:rsidR="00565E26">
        <w:t xml:space="preserve"> limited yield</w:t>
      </w:r>
      <w:r w:rsidR="009E04FA">
        <w:t>s</w:t>
      </w:r>
      <w:r w:rsidR="00565E26">
        <w:t>.</w:t>
      </w:r>
      <w:r w:rsidR="00D15268" w:rsidRPr="00D15268">
        <w:rPr>
          <w:rStyle w:val="FootnoteReference"/>
        </w:rPr>
        <w:t xml:space="preserve"> </w:t>
      </w:r>
      <w:r w:rsidR="00D15268">
        <w:rPr>
          <w:rStyle w:val="FootnoteReference"/>
        </w:rPr>
        <w:fldChar w:fldCharType="begin" w:fldLock="1"/>
      </w:r>
      <w:r w:rsidR="00CF3D89">
        <w:instrText>ADDIN CSL_CITATION {"citationItems":[{"id":"ITEM-1","itemData":{"DOI":"10.1055/sos-SD-012-00398","author":[{"dropping-particle":"","family":"Grimmett","given":"M R","non-dropping-particle":"","parse-names":false,"suffix":""}],"container-title":"Category 2, Hetarenes and Related Ring Systems","editor":[{"dropping-particle":"","family":"Neier","given":"","non-dropping-particle":"","parse-names":false,"suffix":""},{"dropping-particle":"","family":"Bellus","given":"","non-dropping-particle":"","parse-names":false,"suffix":""}],"id":"ITEM-1","issued":{"date-parts":[["2002"]]},"publisher":"Georg Thieme Verlag","publisher-place":"Stuttgart","title":"Product Class 3: Imidazoles","type":"chapter"},"uris":["http://www.mendeley.com/documents/?uuid=6db04000-f0e5-3000-a612-1bae6f2c3c01"]},{"id":"ITEM-2","itemData":{"DOI":"10.1002/cber.188201502245","ISSN":"10990682","abstract":"applicability for this approach.","author":[{"dropping-particle":"","family":"Radzisewski","given":"Br","non-dropping-particle":"","parse-names":false,"suffix":""}],"container-title":"Berichte der deutschen chemischen Gesellschaft","id":"ITEM-2","issue":"2","issued":{"date-parts":[["1882"]]},"page":"2706-2708","title":"Ueber Glyoxalin und seine Homologe","type":"article-journal","volume":"15"},"uris":["http://www.mendeley.com/documents/?uuid=8c0e82d4-4e9e-4b9a-8424-fffe78a28399"]},{"id":"ITEM-3","itemData":{"DOI":"10.1002/cber.18820150207","ISSN":"10990682","author":[{"dropping-particle":"","family":"Radziszewski","given":"Br","non-dropping-particle":"","parse-names":false,"suffix":""}],"container-title":"Berichte der deutschen chemischen Gesellschaft","id":"ITEM-3","issue":"2","issued":{"date-parts":[["1882"]]},"page":"1493-1496","title":"Ueber die Constitution des Lophins und verwandter Verbindungen","type":"article-journal","volume":"15"},"uris":["http://www.mendeley.com/documents/?uuid=d2ecf858-b5e3-4e72-b2f0-277c8c2900f8"]},{"id":"ITEM-4","itemData":{"DOI":"10.1002/jlac.18581070209","ISSN":"00754617","author":[{"dropping-particle":"","family":"Debus","given":"Heinrich","non-dropping-particle":"","parse-names":false,"suffix":""}],"container-title":"Annalen der Chemie und Pharmacie","id":"ITEM-4","issue":"2","issued":{"date-parts":[["1858"]]},"page":"199-208","title":"Ueber die Einwirkung des Ammoniaks auf Glyoxal","type":"article-journal","volume":"107"},"uris":["http://www.mendeley.com/documents/?uuid=e08f53e2-a231-4b89-8b17-93505f45cc36"]},{"id":"ITEM-5","itemData":{"DOI":"10.1007/s11030-006-8695-3","ISSN":"13811991","PMID":"16404525","abstract":"Optimization of Radziszewski's four-component reaction employing a microwave-assisted protocol, led to a small library of 48 imidazoles with a success rate of 65% (conversion &gt; 45%). All three diversity points of the four-component reaction were varied. Aromatic and aliphatic inputs were successfully implemented and mono-, di-, tri- and tetrasubstituted imidazoles with various substitution patterns were synthesized. Furthermore, unsymmetrical diketones could successfully be used which improved the intrinsic diversity of the method significantly. If the unsymmetrical diketone 1,2-phenylpropanedione (R1 and R2) was used two regioisomers were formed. Depending on the type of amine (R4) and aldehyde (R3) applied, regioselectivity was modest to good. Based on these results, a reaction mechanism is proposed.","author":[{"dropping-particle":"","family":"Gelens","given":"E.","non-dropping-particle":"","parse-names":false,"suffix":""},{"dropping-particle":"","family":"Kanter","given":"F. J J","non-dropping-particle":"De","parse-names":false,"suffix":""},{"dropping-particle":"","family":"Schmitz","given":"R. F.","non-dropping-particle":"","parse-names":false,"suffix":""},{"dropping-particle":"","family":"Sliedregt","given":"L. A J M","non-dropping-particle":"","parse-names":false,"suffix":""},{"dropping-particle":"","family":"Steen","given":"B. J.","non-dropping-particle":"Van","parse-names":false,"suffix":""},{"dropping-particle":"","family":"Kruse","given":"Chris G.","non-dropping-particle":"","parse-names":false,"suffix":""},{"dropping-particle":"","family":"Leurs","given":"R.","non-dropping-particle":"","parse-names":false,"suffix":""},{"dropping-particle":"","family":"Groen","given":"M. B.","non-dropping-particle":"","parse-names":false,"suffix":""},{"dropping-particle":"","family":"Orru","given":"R. V A","non-dropping-particle":"","parse-names":false,"suffix":""}],"container-title":"Molecular Diversity","id":"ITEM-5","issue":"1","issued":{"date-parts":[["2006"]]},"page":"17-22","title":"Efficient library synthesis of imidazoles using a multicomponent reaction and microwave irradiation","type":"article-journal","volume":"10"},"uris":["http://www.mendeley.com/documents/?uuid=62bae293-8f1c-4325-a8eb-3a64bf074f5f"]},{"id":"ITEM-6","itemData":{"author":[{"dropping-particle":"","family":"Arduengo","given":"Anthony J.","non-dropping-particle":"","parse-names":false,"suffix":""},{"dropping-particle":"","family":"Gentry","given":"Frederick P. Jr.","non-dropping-particle":"","parse-names":false,"suffix":""},{"dropping-particle":"","family":"Taverkere","given":"Prakash K.","non-dropping-particle":"","parse-names":false,"suffix":""},{"dropping-particle":"","family":"Simmons","given":"Howard E.","non-dropping-particle":"","parse-names":false,"suffix":""}],"id":"ITEM-6","issue":"12","issued":{"date-parts":[["2007"]]},"number":"US6177575","publisher":"Arduengo, Anthony J.","publisher-place":"US","title":"Process for manifacture of imidazoles","type":"patent"},"uris":["http://www.mendeley.com/documents/?uuid=ee50db09-1f1e-4b9c-83bc-4e02bb186219"]}],"mendeley":{"formattedCitation":"&lt;sup&gt;26–31&lt;/sup&gt;","plainTextFormattedCitation":"26–31","previouslyFormattedCitation":"&lt;sup&gt;26–31&lt;/sup&gt;"},"properties":{"noteIndex":0},"schema":"https://github.com/citation-style-language/schema/raw/master/csl-citation.json"}</w:instrText>
      </w:r>
      <w:r w:rsidR="00D15268">
        <w:rPr>
          <w:rStyle w:val="FootnoteReference"/>
        </w:rPr>
        <w:fldChar w:fldCharType="separate"/>
      </w:r>
      <w:r w:rsidR="00D15268" w:rsidRPr="00F07618">
        <w:rPr>
          <w:bCs/>
          <w:noProof/>
          <w:vertAlign w:val="superscript"/>
          <w:lang w:val="en-US"/>
        </w:rPr>
        <w:t>26–31</w:t>
      </w:r>
      <w:r w:rsidR="00D15268">
        <w:rPr>
          <w:rStyle w:val="FootnoteReference"/>
        </w:rPr>
        <w:fldChar w:fldCharType="end"/>
      </w:r>
      <w:r>
        <w:t xml:space="preserve"> </w:t>
      </w:r>
      <w:r w:rsidR="00565E26">
        <w:t>Th</w:t>
      </w:r>
      <w:r>
        <w:t>e</w:t>
      </w:r>
      <w:r w:rsidR="00565E26">
        <w:t xml:space="preserve"> modif</w:t>
      </w:r>
      <w:r w:rsidR="003803AC">
        <w:t xml:space="preserve">ication </w:t>
      </w:r>
      <w:r>
        <w:t xml:space="preserve">of this reaction </w:t>
      </w:r>
      <w:r w:rsidR="00B7658C">
        <w:t xml:space="preserve">for the production of imidazolium ionic liquids </w:t>
      </w:r>
      <w:r w:rsidR="003803AC">
        <w:t xml:space="preserve">was </w:t>
      </w:r>
      <w:r w:rsidR="009E04FA">
        <w:t>very</w:t>
      </w:r>
      <w:r w:rsidR="003803AC">
        <w:t xml:space="preserve"> effective</w:t>
      </w:r>
      <w:r w:rsidR="00B7658C">
        <w:t>. I</w:t>
      </w:r>
      <w:r w:rsidR="00486673">
        <w:t>t</w:t>
      </w:r>
      <w:r w:rsidR="003803AC">
        <w:t xml:space="preserve"> </w:t>
      </w:r>
      <w:r w:rsidR="00565E26">
        <w:t xml:space="preserve">improved the </w:t>
      </w:r>
      <w:r w:rsidR="003803AC">
        <w:t>product</w:t>
      </w:r>
      <w:r w:rsidR="00565E26">
        <w:t xml:space="preserve"> yields and allowed the </w:t>
      </w:r>
      <w:r w:rsidR="00D14215">
        <w:t xml:space="preserve">direct </w:t>
      </w:r>
      <w:r w:rsidR="00565E26">
        <w:t xml:space="preserve">achievement of imidazolium </w:t>
      </w:r>
      <w:r w:rsidR="003803AC">
        <w:t>salts</w:t>
      </w:r>
      <w:r w:rsidR="003803AC" w:rsidRPr="003803AC">
        <w:t xml:space="preserve"> </w:t>
      </w:r>
      <w:r w:rsidR="00831782">
        <w:t xml:space="preserve">in a one-pot reaction </w:t>
      </w:r>
      <w:r w:rsidR="003803AC">
        <w:t>from cheap and widely available starting materials</w:t>
      </w:r>
      <w:r w:rsidR="00565E26">
        <w:t>.</w:t>
      </w:r>
      <w:r>
        <w:t xml:space="preserve"> </w:t>
      </w:r>
      <w:r w:rsidR="006B04FA">
        <w:t>D</w:t>
      </w:r>
      <w:r w:rsidR="00ED179E">
        <w:t xml:space="preserve">ifferently from the </w:t>
      </w:r>
      <w:r w:rsidR="00A33D59" w:rsidRPr="00C53821">
        <w:t>Debus</w:t>
      </w:r>
      <w:r w:rsidR="00A33D59">
        <w:sym w:font="Symbol" w:char="F02D"/>
      </w:r>
      <w:r w:rsidR="00A33D59" w:rsidRPr="00C53821">
        <w:t>Radziszewski</w:t>
      </w:r>
      <w:r w:rsidR="00A33D59">
        <w:t xml:space="preserve"> </w:t>
      </w:r>
      <w:r w:rsidR="00ED179E">
        <w:t xml:space="preserve">procedure, the </w:t>
      </w:r>
      <w:r w:rsidR="00565E26">
        <w:t xml:space="preserve">scope of the </w:t>
      </w:r>
      <w:r w:rsidR="00ED179E">
        <w:t>modified imidazolium synthesis was limited to the synthesis of unsubstituted</w:t>
      </w:r>
      <w:r w:rsidR="003803AC">
        <w:t>,</w:t>
      </w:r>
      <w:r w:rsidR="00ED179E">
        <w:t xml:space="preserve"> short</w:t>
      </w:r>
      <w:r w:rsidR="009E04FA">
        <w:t>-</w:t>
      </w:r>
      <w:r w:rsidR="00ED179E">
        <w:t>chain</w:t>
      </w:r>
      <w:r w:rsidR="003803AC">
        <w:t>,</w:t>
      </w:r>
      <w:r w:rsidR="00ED179E">
        <w:t xml:space="preserve"> </w:t>
      </w:r>
      <w:r w:rsidR="003803AC">
        <w:t xml:space="preserve">and </w:t>
      </w:r>
      <w:r w:rsidR="00ED179E">
        <w:t>symmetrical imidazolium ionic liquids</w:t>
      </w:r>
      <w:r w:rsidR="00835BBD">
        <w:t xml:space="preserve"> (</w:t>
      </w:r>
      <w:r w:rsidR="00C61A9E">
        <w:t xml:space="preserve">Scheme </w:t>
      </w:r>
      <w:r w:rsidR="00C61A9E">
        <w:rPr>
          <w:noProof/>
        </w:rPr>
        <w:t>3</w:t>
      </w:r>
      <w:r w:rsidR="00835BBD">
        <w:t>)</w:t>
      </w:r>
      <w:r w:rsidR="00ED179E">
        <w:t>.</w:t>
      </w:r>
      <w:r w:rsidR="000F4855">
        <w:t xml:space="preserve"> This limitation was dictated both by the</w:t>
      </w:r>
      <w:r>
        <w:t xml:space="preserve"> </w:t>
      </w:r>
      <w:r w:rsidR="00C507AF">
        <w:t>incompatibility</w:t>
      </w:r>
      <w:r w:rsidR="000F4855">
        <w:t xml:space="preserve"> of enolisable materials </w:t>
      </w:r>
      <w:r w:rsidR="00C507AF">
        <w:t xml:space="preserve">(supposedly because of </w:t>
      </w:r>
      <w:r w:rsidR="005C29B9">
        <w:t xml:space="preserve">aldol-type </w:t>
      </w:r>
      <w:r w:rsidR="00C507AF">
        <w:t>self-condensation)</w:t>
      </w:r>
      <w:r w:rsidR="000F4855">
        <w:t xml:space="preserve"> and by the </w:t>
      </w:r>
      <w:r w:rsidR="002E2222">
        <w:t>lack</w:t>
      </w:r>
      <w:r w:rsidR="000F4855">
        <w:t xml:space="preserve"> of purification and </w:t>
      </w:r>
      <w:r w:rsidR="009832FD">
        <w:t>synthetic</w:t>
      </w:r>
      <w:r w:rsidR="000F4855">
        <w:t xml:space="preserve"> procedures </w:t>
      </w:r>
      <w:r w:rsidR="00565E26">
        <w:t xml:space="preserve">capable </w:t>
      </w:r>
      <w:r w:rsidR="0057585D">
        <w:t>of</w:t>
      </w:r>
      <w:r w:rsidR="000F4855">
        <w:t xml:space="preserve"> attain</w:t>
      </w:r>
      <w:r w:rsidR="0057585D">
        <w:t>ing</w:t>
      </w:r>
      <w:r w:rsidR="000F4855">
        <w:t xml:space="preserve"> long-chain </w:t>
      </w:r>
      <w:r w:rsidR="005C29B9">
        <w:t>N</w:t>
      </w:r>
      <w:r w:rsidR="00002EBE">
        <w:t>,N</w:t>
      </w:r>
      <w:r w:rsidR="005C29B9">
        <w:t>-</w:t>
      </w:r>
      <w:r w:rsidR="00002EBE">
        <w:t>di</w:t>
      </w:r>
      <w:r w:rsidR="005C29B9">
        <w:t xml:space="preserve">substituted </w:t>
      </w:r>
      <w:r w:rsidR="0057585D">
        <w:t xml:space="preserve">imidazolium </w:t>
      </w:r>
      <w:r w:rsidR="000F4855">
        <w:t>derivatives.</w:t>
      </w:r>
    </w:p>
    <w:tbl>
      <w:tblPr>
        <w:tblStyle w:val="TableGrid"/>
        <w:tblpPr w:leftFromText="181" w:rightFromText="181" w:bottomFromText="180" w:tblpY="181"/>
        <w:tblOverlap w:val="never"/>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79"/>
      </w:tblGrid>
      <w:tr w:rsidR="00EA6BC0" w14:paraId="5C23A31B" w14:textId="77777777" w:rsidTr="00023A1B">
        <w:tc>
          <w:tcPr>
            <w:tcW w:w="5000" w:type="pct"/>
            <w:vAlign w:val="center"/>
          </w:tcPr>
          <w:p w14:paraId="0A64E7F7" w14:textId="7F1455E9" w:rsidR="00EA6BC0" w:rsidRDefault="0074554D" w:rsidP="00AC4747">
            <w:pPr>
              <w:pStyle w:val="RSCI03FigureSchemeChartUncaptioned"/>
            </w:pPr>
            <w:r>
              <w:pict w14:anchorId="5200ADB2">
                <v:shape id="_x0000_i1026" type="#_x0000_t75" style="width:231.35pt;height:50.25pt">
                  <v:imagedata r:id="rId15" o:title=""/>
                </v:shape>
              </w:pict>
            </w:r>
          </w:p>
        </w:tc>
      </w:tr>
      <w:tr w:rsidR="00EA6BC0" w14:paraId="3668002D" w14:textId="77777777" w:rsidTr="00023A1B">
        <w:tc>
          <w:tcPr>
            <w:tcW w:w="5000" w:type="pct"/>
          </w:tcPr>
          <w:p w14:paraId="5E351B5F" w14:textId="1E05C834" w:rsidR="00EA6BC0" w:rsidRPr="00D55095" w:rsidRDefault="00EA6BC0" w:rsidP="00AC4747">
            <w:pPr>
              <w:pStyle w:val="RSCI01FigureSchemeChartwithbottombar"/>
            </w:pPr>
            <w:bookmarkStart w:id="2" w:name="_Ref15700937"/>
            <w:r>
              <w:t xml:space="preserve">Scheme </w:t>
            </w:r>
            <w:r w:rsidR="00C61A9E">
              <w:rPr>
                <w:noProof/>
              </w:rPr>
              <w:t>2</w:t>
            </w:r>
            <w:bookmarkEnd w:id="2"/>
            <w:r>
              <w:t xml:space="preserve">. </w:t>
            </w:r>
            <w:r w:rsidR="0088210F" w:rsidRPr="0088210F">
              <w:t xml:space="preserve">General reaction scheme of </w:t>
            </w:r>
            <w:r w:rsidR="0088210F">
              <w:t>the Debus</w:t>
            </w:r>
            <w:r w:rsidR="00A33D59">
              <w:sym w:font="Symbol" w:char="F02D"/>
            </w:r>
            <w:r w:rsidR="0088210F">
              <w:t>Radziszewski imidazole synthesis</w:t>
            </w:r>
            <w:r w:rsidR="0088210F" w:rsidRPr="0088210F">
              <w:t>.</w:t>
            </w:r>
          </w:p>
        </w:tc>
      </w:tr>
    </w:tbl>
    <w:p w14:paraId="6857313D" w14:textId="164A6F97" w:rsidR="00A401CC" w:rsidRDefault="00EE5E61" w:rsidP="000B50FA">
      <w:pPr>
        <w:pStyle w:val="RSCB02ArticleText"/>
      </w:pPr>
      <w:r>
        <w:t xml:space="preserve">Eventually, the procedure was </w:t>
      </w:r>
      <w:r w:rsidR="00310D7E">
        <w:t xml:space="preserve">adapted </w:t>
      </w:r>
      <w:r>
        <w:t xml:space="preserve">by </w:t>
      </w:r>
      <w:r w:rsidR="00612304" w:rsidRPr="00113009">
        <w:t>Depuydt</w:t>
      </w:r>
      <w:r w:rsidRPr="00113009">
        <w:t xml:space="preserve"> et al</w:t>
      </w:r>
      <w:r>
        <w:rPr>
          <w:i/>
        </w:rPr>
        <w:t>.</w:t>
      </w:r>
      <w:r>
        <w:t xml:space="preserve"> in a solvent-less one-pot synthesis</w:t>
      </w:r>
      <w:r w:rsidR="00310D7E">
        <w:t>, which was implemented in various studies.</w:t>
      </w:r>
      <w:r w:rsidR="00D15268">
        <w:rPr>
          <w:rStyle w:val="FootnoteReference"/>
        </w:rPr>
        <w:fldChar w:fldCharType="begin" w:fldLock="1"/>
      </w:r>
      <w:r w:rsidR="00D15268">
        <w:instrText>ADDIN CSL_CITATION {"citationItems":[{"id":"ITEM-1","itemData":{"DOI":"10.1002/chem.201701212","ISSN":"09476539","abstract":"© 2017 Wiley-VCH Verlag GmbH &amp; Co. KGaA, Weinheim. Invited for the cover of this issue is the group of Clemens Liedel at the Max Planck Institute of Colloids and Interfaces in Potsdam (Germany). Read the full text of the article at 10.1002/chem.201701212.","author":[{"dropping-particle":"","family":"Tröger-Müller","given":"Steffen","non-dropping-particle":"","parse-names":false,"suffix":""},{"dropping-particle":"","family":"Brandt","given":"Jessica","non-dropping-particle":"","parse-names":false,"suffix":""},{"dropping-particle":"","family":"Antonietti","given":"Markus","non-dropping-particle":"","parse-names":false,"suffix":""},{"dropping-particle":"","family":"Liedel","given":"Clemens","non-dropping-particle":"","parse-names":false,"suffix":""}],"container-title":"Chemistry - A European Journal","id":"ITEM-1","issue":"49","issued":{"date-parts":[["2017","9","4"]]},"page":"11810-11817","title":"Green Imidazolium Ionics-From Truly Sustainable Reagents to Highly Functional Ionic Liquids","type":"article-journal","volume":"23"},"uris":["http://www.mendeley.com/documents/?uuid=ed8c823b-64c4-428c-85b7-fc229b9df7be"]},{"id":"ITEM-2","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Advances","id":"ITEM-2","issue":"11","issued":{"date-parts":[["2016"]]},"page":"8848-8859","publisher":"Royal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mendeley":{"formattedCitation":"&lt;sup&gt;17,32&lt;/sup&gt;","plainTextFormattedCitation":"17,32","previouslyFormattedCitation":"&lt;sup&gt;17,32&lt;/sup&gt;"},"properties":{"noteIndex":0},"schema":"https://github.com/citation-style-language/schema/raw/master/csl-citation.json"}</w:instrText>
      </w:r>
      <w:r w:rsidR="00D15268">
        <w:rPr>
          <w:rStyle w:val="FootnoteReference"/>
        </w:rPr>
        <w:fldChar w:fldCharType="separate"/>
      </w:r>
      <w:r w:rsidR="00D15268" w:rsidRPr="00F07618">
        <w:rPr>
          <w:bCs/>
          <w:noProof/>
          <w:vertAlign w:val="superscript"/>
          <w:lang w:val="en-US"/>
        </w:rPr>
        <w:t>17,32</w:t>
      </w:r>
      <w:r w:rsidR="00D15268">
        <w:rPr>
          <w:rStyle w:val="FootnoteReference"/>
        </w:rPr>
        <w:fldChar w:fldCharType="end"/>
      </w:r>
      <w:r w:rsidR="00310D7E">
        <w:t xml:space="preserve"> </w:t>
      </w:r>
      <w:r w:rsidR="007F0B13">
        <w:t>However</w:t>
      </w:r>
      <w:r w:rsidR="00310D7E">
        <w:t xml:space="preserve">, </w:t>
      </w:r>
      <w:r w:rsidR="00FA326C">
        <w:t xml:space="preserve">none </w:t>
      </w:r>
      <w:r w:rsidR="00310D7E">
        <w:t>of the studies</w:t>
      </w:r>
      <w:r w:rsidR="00FA326C">
        <w:t xml:space="preserve"> targeted long chain derivatives, which were a clear limit of the reported procedure</w:t>
      </w:r>
      <w:r w:rsidR="00097710">
        <w:t>.</w:t>
      </w:r>
      <w:r w:rsidR="00D15268">
        <w:rPr>
          <w:rStyle w:val="FootnoteReference"/>
        </w:rPr>
        <w:fldChar w:fldCharType="begin" w:fldLock="1"/>
      </w:r>
      <w:r w:rsidR="00D15268">
        <w:instrText>ADDIN CSL_CITATION {"citationItems":[{"id":"ITEM-1","itemData":{"DOI":"10.1002/chem.201701212","ISSN":"09476539","abstract":"© 2017 Wiley-VCH Verlag GmbH &amp; Co. KGaA, Weinheim. Invited for the cover of this issue is the group of Clemens Liedel at the Max Planck Institute of Colloids and Interfaces in Potsdam (Germany). Read the full text of the article at 10.1002/chem.201701212.","author":[{"dropping-particle":"","family":"Tröger-Müller","given":"Steffen","non-dropping-particle":"","parse-names":false,"suffix":""},{"dropping-particle":"","family":"Brandt","given":"Jessica","non-dropping-particle":"","parse-names":false,"suffix":""},{"dropping-particle":"","family":"Antonietti","given":"Markus","non-dropping-particle":"","parse-names":false,"suffix":""},{"dropping-particle":"","family":"Liedel","given":"Clemens","non-dropping-particle":"","parse-names":false,"suffix":""}],"container-title":"Chemistry - A European Journal","id":"ITEM-1","issue":"49","issued":{"date-parts":[["2017","9","4"]]},"page":"11810-11817","title":"Green Imidazolium Ionics-From Truly Sustainable Reagents to Highly Functional Ionic Liquids","type":"article-journal","volume":"23"},"uris":["http://www.mendeley.com/documents/?uuid=ed8c823b-64c4-428c-85b7-fc229b9df7be"]},{"id":"ITEM-2","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Advances","id":"ITEM-2","issue":"11","issued":{"date-parts":[["2016"]]},"page":"8848-8859","publisher":"Royal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mendeley":{"formattedCitation":"&lt;sup&gt;17,32&lt;/sup&gt;","plainTextFormattedCitation":"17,32","previouslyFormattedCitation":"&lt;sup&gt;17,32&lt;/sup&gt;"},"properties":{"noteIndex":0},"schema":"https://github.com/citation-style-language/schema/raw/master/csl-citation.json"}</w:instrText>
      </w:r>
      <w:r w:rsidR="00D15268">
        <w:rPr>
          <w:rStyle w:val="FootnoteReference"/>
        </w:rPr>
        <w:fldChar w:fldCharType="separate"/>
      </w:r>
      <w:r w:rsidR="00D15268" w:rsidRPr="00F07618">
        <w:rPr>
          <w:bCs/>
          <w:noProof/>
          <w:vertAlign w:val="superscript"/>
          <w:lang w:val="en-US"/>
        </w:rPr>
        <w:t>17,32</w:t>
      </w:r>
      <w:r w:rsidR="00D15268">
        <w:rPr>
          <w:rStyle w:val="FootnoteReference"/>
        </w:rPr>
        <w:fldChar w:fldCharType="end"/>
      </w:r>
      <w:r w:rsidR="00097710">
        <w:t xml:space="preserve"> </w:t>
      </w:r>
      <w:r w:rsidR="007F0B13">
        <w:t>Besides</w:t>
      </w:r>
      <w:r w:rsidR="00FA326C">
        <w:t xml:space="preserve">, </w:t>
      </w:r>
      <w:r w:rsidR="000A43D3">
        <w:t>some</w:t>
      </w:r>
      <w:r w:rsidR="00D674FC">
        <w:t xml:space="preserve"> </w:t>
      </w:r>
      <w:r w:rsidR="000F4855">
        <w:t xml:space="preserve">compounds </w:t>
      </w:r>
      <w:r w:rsidR="00FA326C">
        <w:t>were</w:t>
      </w:r>
      <w:r w:rsidR="00246519">
        <w:t xml:space="preserve"> also</w:t>
      </w:r>
      <w:r w:rsidR="00FA326C">
        <w:t xml:space="preserve"> reported </w:t>
      </w:r>
      <w:r w:rsidR="000F4855">
        <w:t>as</w:t>
      </w:r>
      <w:r w:rsidR="000A43D3">
        <w:t xml:space="preserve"> a</w:t>
      </w:r>
      <w:r w:rsidR="000F4855">
        <w:t xml:space="preserve"> crude mixture because of the </w:t>
      </w:r>
      <w:r w:rsidR="00E13049">
        <w:t>difficulties encountered in devising</w:t>
      </w:r>
      <w:r w:rsidR="000F4855">
        <w:t xml:space="preserve"> an effective </w:t>
      </w:r>
      <w:r w:rsidR="00FA326C">
        <w:t>puri</w:t>
      </w:r>
      <w:r w:rsidR="00565E26">
        <w:t>fi</w:t>
      </w:r>
      <w:r w:rsidR="00FA326C">
        <w:t xml:space="preserve">cation procedure capable of isolating the final </w:t>
      </w:r>
      <w:r w:rsidR="000F4855">
        <w:t>product</w:t>
      </w:r>
      <w:r w:rsidR="00FA326C">
        <w:t>.</w:t>
      </w:r>
      <w:r w:rsidR="00D15268">
        <w:rPr>
          <w:rStyle w:val="FootnoteReference"/>
        </w:rPr>
        <w:fldChar w:fldCharType="begin" w:fldLock="1"/>
      </w:r>
      <w:r w:rsidR="00D15268">
        <w:instrText>ADDIN CSL_CITATION {"citationItems":[{"id":"ITEM-1","itemData":{"DOI":"10.1002/chem.201701212","ISSN":"09476539","abstract":"© 2017 Wiley-VCH Verlag GmbH &amp; Co. KGaA, Weinheim. Invited for the cover of this issue is the group of Clemens Liedel at the Max Planck Institute of Colloids and Interfaces in Potsdam (Germany). Read the full text of the article at 10.1002/chem.201701212.","author":[{"dropping-particle":"","family":"Tröger-Müller","given":"Steffen","non-dropping-particle":"","parse-names":false,"suffix":""},{"dropping-particle":"","family":"Brandt","given":"Jessica","non-dropping-particle":"","parse-names":false,"suffix":""},{"dropping-particle":"","family":"Antonietti","given":"Markus","non-dropping-particle":"","parse-names":false,"suffix":""},{"dropping-particle":"","family":"Liedel","given":"Clemens","non-dropping-particle":"","parse-names":false,"suffix":""}],"container-title":"Chemistry - A European Journal","id":"ITEM-1","issue":"49","issued":{"date-parts":[["2017","9","4"]]},"page":"11810-11817","title":"Green Imidazolium Ionics-From Truly Sustainable Reagents to Highly Functional Ionic Liquids","type":"article-journal","volume":"23"},"uris":["http://www.mendeley.com/documents/?uuid=ed8c823b-64c4-428c-85b7-fc229b9df7be"]}],"mendeley":{"formattedCitation":"&lt;sup&gt;32&lt;/sup&gt;","plainTextFormattedCitation":"32","previouslyFormattedCitation":"&lt;sup&gt;32&lt;/sup&gt;"},"properties":{"noteIndex":0},"schema":"https://github.com/citation-style-language/schema/raw/master/csl-citation.json"}</w:instrText>
      </w:r>
      <w:r w:rsidR="00D15268">
        <w:rPr>
          <w:rStyle w:val="FootnoteReference"/>
        </w:rPr>
        <w:fldChar w:fldCharType="separate"/>
      </w:r>
      <w:r w:rsidR="00D15268" w:rsidRPr="00F07618">
        <w:rPr>
          <w:noProof/>
          <w:vertAlign w:val="superscript"/>
        </w:rPr>
        <w:t>32</w:t>
      </w:r>
      <w:r w:rsidR="00D15268">
        <w:rPr>
          <w:rStyle w:val="FootnoteReference"/>
        </w:rPr>
        <w:fldChar w:fldCharType="end"/>
      </w:r>
      <w:r w:rsidR="00FA326C">
        <w:t xml:space="preserve"> This </w:t>
      </w:r>
      <w:r>
        <w:t>evidence</w:t>
      </w:r>
      <w:r w:rsidR="0057585D">
        <w:t>d</w:t>
      </w:r>
      <w:r w:rsidR="00FA326C">
        <w:t xml:space="preserve"> the need </w:t>
      </w:r>
      <w:r w:rsidR="00D14215">
        <w:t>for</w:t>
      </w:r>
      <w:r w:rsidR="000F4855">
        <w:t xml:space="preserve"> </w:t>
      </w:r>
      <w:r w:rsidR="00FA326C">
        <w:t>further stud</w:t>
      </w:r>
      <w:r w:rsidR="002E2222">
        <w:t>ies</w:t>
      </w:r>
      <w:r w:rsidR="000F4855">
        <w:t xml:space="preserve"> in order to improve the </w:t>
      </w:r>
      <w:r w:rsidR="00CB1AEF">
        <w:t xml:space="preserve">procedure and </w:t>
      </w:r>
      <w:r w:rsidR="000F4855">
        <w:t>scope of the reaction.</w:t>
      </w:r>
    </w:p>
    <w:tbl>
      <w:tblPr>
        <w:tblStyle w:val="TableGrid"/>
        <w:tblpPr w:leftFromText="181" w:rightFromText="181" w:topFromText="180" w:tblpYSpec="bottom"/>
        <w:tblOverlap w:val="never"/>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80" w:type="dxa"/>
          <w:right w:w="0" w:type="dxa"/>
        </w:tblCellMar>
        <w:tblLook w:val="04A0" w:firstRow="1" w:lastRow="0" w:firstColumn="1" w:lastColumn="0" w:noHBand="0" w:noVBand="1"/>
      </w:tblPr>
      <w:tblGrid>
        <w:gridCol w:w="4979"/>
      </w:tblGrid>
      <w:tr w:rsidR="004877C5" w14:paraId="51293D3A" w14:textId="77777777" w:rsidTr="004877C5">
        <w:tc>
          <w:tcPr>
            <w:tcW w:w="5000" w:type="pct"/>
            <w:vAlign w:val="center"/>
          </w:tcPr>
          <w:p w14:paraId="0C591938" w14:textId="788E96CA" w:rsidR="004877C5" w:rsidRDefault="004877C5" w:rsidP="000C22B5">
            <w:pPr>
              <w:pStyle w:val="RSCI02FigureSchemeChartwithtopbar"/>
              <w:keepNext/>
              <w:jc w:val="center"/>
            </w:pPr>
            <w:r>
              <w:rPr>
                <w:noProof/>
                <w:lang w:val="en-US"/>
              </w:rPr>
              <w:drawing>
                <wp:inline distT="0" distB="0" distL="0" distR="0" wp14:anchorId="21CB3912" wp14:editId="791D6A94">
                  <wp:extent cx="2966720" cy="611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6720" cy="611505"/>
                          </a:xfrm>
                          <a:prstGeom prst="rect">
                            <a:avLst/>
                          </a:prstGeom>
                          <a:noFill/>
                          <a:ln>
                            <a:noFill/>
                          </a:ln>
                        </pic:spPr>
                      </pic:pic>
                    </a:graphicData>
                  </a:graphic>
                </wp:inline>
              </w:drawing>
            </w:r>
          </w:p>
        </w:tc>
      </w:tr>
      <w:tr w:rsidR="004877C5" w14:paraId="562A5DD0" w14:textId="77777777" w:rsidTr="004877C5">
        <w:tc>
          <w:tcPr>
            <w:tcW w:w="5000" w:type="pct"/>
          </w:tcPr>
          <w:p w14:paraId="361EC9A4" w14:textId="70929E48" w:rsidR="004877C5" w:rsidRPr="004877C5" w:rsidRDefault="004877C5" w:rsidP="00A33D59">
            <w:pPr>
              <w:pStyle w:val="RSCI04CaptiontoFigureSchemeChart"/>
            </w:pPr>
            <w:bookmarkStart w:id="3" w:name="_Ref22473456"/>
            <w:r>
              <w:t xml:space="preserve">Scheme </w:t>
            </w:r>
            <w:r>
              <w:rPr>
                <w:noProof/>
              </w:rPr>
              <w:t>3</w:t>
            </w:r>
            <w:bookmarkEnd w:id="3"/>
            <w:r>
              <w:t>.</w:t>
            </w:r>
            <w:r w:rsidRPr="0088210F">
              <w:t xml:space="preserve"> General reaction scheme of </w:t>
            </w:r>
            <w:r>
              <w:t>the modified Debus</w:t>
            </w:r>
            <w:r w:rsidR="00A33D59">
              <w:sym w:font="Symbol" w:char="F02D"/>
            </w:r>
            <w:r>
              <w:t>Radziszewski imidazolium synthesis.</w:t>
            </w:r>
          </w:p>
        </w:tc>
      </w:tr>
    </w:tbl>
    <w:p w14:paraId="3F6C76EE" w14:textId="4F9C635A" w:rsidR="00EA6BC0" w:rsidRDefault="009E04FA" w:rsidP="000B50FA">
      <w:pPr>
        <w:pStyle w:val="RSCB02ArticleText"/>
      </w:pPr>
      <w:r>
        <w:t>L</w:t>
      </w:r>
      <w:r w:rsidR="00F05542">
        <w:t>iterature</w:t>
      </w:r>
      <w:r>
        <w:t xml:space="preserve"> reports often</w:t>
      </w:r>
      <w:r w:rsidR="00781BC7">
        <w:t xml:space="preserve"> ha</w:t>
      </w:r>
      <w:r>
        <w:t>ve</w:t>
      </w:r>
      <w:r w:rsidR="001D54AD">
        <w:t xml:space="preserve"> </w:t>
      </w:r>
      <w:r w:rsidR="00F05542">
        <w:t>focuse</w:t>
      </w:r>
      <w:r w:rsidR="00A36D14">
        <w:t>d</w:t>
      </w:r>
      <w:r w:rsidR="00F05542">
        <w:t xml:space="preserve"> </w:t>
      </w:r>
      <w:r w:rsidR="001D54AD">
        <w:t xml:space="preserve">on imidazolium ionic liquids </w:t>
      </w:r>
      <w:r w:rsidR="00F05542">
        <w:t>compris</w:t>
      </w:r>
      <w:r w:rsidR="0016230A">
        <w:t>ing N-methyl substituent</w:t>
      </w:r>
      <w:r w:rsidR="007479C9">
        <w:t>s</w:t>
      </w:r>
      <w:r w:rsidR="0016230A">
        <w:t xml:space="preserve"> and</w:t>
      </w:r>
      <w:r w:rsidR="00F05542">
        <w:t xml:space="preserve"> with an overall relatively </w:t>
      </w:r>
      <w:r w:rsidR="001D54AD">
        <w:t>low molecular weight (</w:t>
      </w:r>
      <w:r w:rsidR="00C659CB">
        <w:t>usually below twenty carbon</w:t>
      </w:r>
      <w:r>
        <w:t xml:space="preserve"> atom</w:t>
      </w:r>
      <w:r w:rsidR="00C659CB">
        <w:t>s</w:t>
      </w:r>
      <w:r w:rsidR="001D54AD">
        <w:t>).</w:t>
      </w:r>
      <w:r w:rsidR="00D15268">
        <w:rPr>
          <w:rStyle w:val="FootnoteReference"/>
        </w:rPr>
        <w:fldChar w:fldCharType="begin" w:fldLock="1"/>
      </w:r>
      <w:r w:rsidR="00D15268">
        <w:instrText>ADDIN CSL_CITATION {"citationItems":[{"id":"ITEM-1","itemData":{"DOI":"10.1021/je700693z","ISBN":"0021-9568","ISSN":"00219568","abstract":"The liquid?liquid phase equilibria (LLE) of the following imidazolium ionic liquids (ILs), {1-ethyl-3-ethylimidazolium, or 1-butyl-3-ethylimidazolium, or 1-hexyl-3-ethylimidazolium bis{(trifluoromethyl)sylfonyl}imide [EEIM][Tf2N], or [BEIM][Tf2N], or [HEIM][Tf2N], + water or + 1-octanol}, and {1-butyl-3-ethylimidazolium hexafluorophosphate [BEIM][PF6] + water or + 1-octanol}, have been measured. The effect of anion type ([Tf2N]- compared to [PF6]-) and the effect of structural components of an ionic liquid including alkyl chain length on the cation and the ethyl substituent instead of methyl at the cation on the physical-chemical properties of the IL and on the phase behavior were studied. An upper critical solution temperature (UCST) was observed in every system. An increase in the alkyl chain length increases the mutual solubility with 1-octanol and partly with water. Ionic liquids with the ethyl substituent on the cation [HEIM][Tf2N] show higher solubility in 1-octanol in comparison with the methyl substituent. After the synthesis, the characterization and purity of the compounds were obtained by nuclear magnetic resonance (NMR), elemental analysis, water content (Fischer method), and differential scanning microcalorimetry (DSC). From DSC, the melting point, enthalpy of fusion, and the temperatures of glass transition of all the investigated ionic liquids were determined. The experimental LLE data were correlated by means of the NRTL equation.","author":[{"dropping-particle":"","family":"Domańska","given":"Urszula","non-dropping-particle":"","parse-names":false,"suffix":""},{"dropping-particle":"","family":"Rȩkawek","given":"Anna","non-dropping-particle":"","parse-names":false,"suffix":""},{"dropping-particle":"","family":"Marciniak","given":"Andrzej","non-dropping-particle":"","parse-names":false,"suffix":""}],"container-title":"Journal of Chemical and Engineering Data","id":"ITEM-1","issue":"5","issued":{"date-parts":[["2008"]]},"page":"1126-1132","title":"Solubility of 1-alkyl-3-ethylimidazolium-based ionic liquids in water and 1-octanol","type":"article-journal","volume":"53"},"uris":["http://www.mendeley.com/documents/?uuid=03aa74f6-9910-4c54-a6e1-bd1cc7851567"]},{"id":"ITEM-2","itemData":{"DOI":"10.1039/c4ra00645c","ISSN":"20462069","abstract":"Aqueous-ionic liquid (A-IL) biphasic systems containing deuterated water, deuterated nitric acid (10-2 M to 7 M) and either [C 1C4im+][Tf2N-], [C 1C10im+][Tf2N-] or [Me3BuN+][Tf2N-] have been examined in terms of water and acid solubilities in the IL-rich phase and in terms of IL cation and anion solubilities in the water-rich phase. Other experiments focused on the IL cation and anion solubility in the water-rich phase upon addition of either [C1C4im+][Cl-] or [Li +][Tf2N-]. The results evidence a complex interplay between all negatively and positively charged ions of the samples that could be described following the usual approach used for aqueous-aqueous (A-A) biphasic systems. Other examples from the literature are discussed and demonstrate that the frontier between A-A and A-IL systems is questionable. Predictions are made for the extraction of metallic ions by use of biphasic systems in this work that are successfully compared to literature data. This journal is © the Partner Organisations 2014.","author":[{"dropping-particle":"","family":"Mazan","given":"Valérie","non-dropping-particle":"","parse-names":false,"suffix":""},{"dropping-particle":"","family":"Billard","given":"Isabelle","non-dropping-particle":"","parse-names":false,"suffix":""},{"dropping-particle":"","family":"Papaiconomou","given":"Nicolas","non-dropping-particle":"","parse-names":false,"suffix":""}],"container-title":"RSC Advances","id":"ITEM-2","issue":"26","issued":{"date-parts":[["2014"]]},"page":"13371-13384","title":"Experimental connections between aqueous-aqueous and aqueous-ionic liquid biphasic systems","type":"article-journal","volume":"4"},"uris":["http://www.mendeley.com/documents/?uuid=306ddfcc-3d15-4d63-ab10-e4b8d615ee82"]}],"mendeley":{"formattedCitation":"&lt;sup&gt;33,34&lt;/sup&gt;","plainTextFormattedCitation":"33,34","previouslyFormattedCitation":"&lt;sup&gt;33,34&lt;/sup&gt;"},"properties":{"noteIndex":0},"schema":"https://github.com/citation-style-language/schema/raw/master/csl-citation.json"}</w:instrText>
      </w:r>
      <w:r w:rsidR="00D15268">
        <w:rPr>
          <w:rStyle w:val="FootnoteReference"/>
        </w:rPr>
        <w:fldChar w:fldCharType="separate"/>
      </w:r>
      <w:r w:rsidR="00D15268" w:rsidRPr="00F07618">
        <w:rPr>
          <w:bCs/>
          <w:noProof/>
          <w:vertAlign w:val="superscript"/>
          <w:lang w:val="en-US"/>
        </w:rPr>
        <w:t>33,34</w:t>
      </w:r>
      <w:r w:rsidR="00D15268">
        <w:rPr>
          <w:rStyle w:val="FootnoteReference"/>
        </w:rPr>
        <w:fldChar w:fldCharType="end"/>
      </w:r>
      <w:r w:rsidR="001D54AD">
        <w:t xml:space="preserve"> </w:t>
      </w:r>
      <w:r w:rsidR="00A401CC">
        <w:t xml:space="preserve">In </w:t>
      </w:r>
      <w:r w:rsidR="0065593A">
        <w:t>this</w:t>
      </w:r>
      <w:r w:rsidR="00A401CC">
        <w:t xml:space="preserve"> study, we </w:t>
      </w:r>
      <w:r w:rsidR="00C85DA7">
        <w:t>adapted</w:t>
      </w:r>
      <w:r w:rsidR="00A401CC">
        <w:t xml:space="preserve"> the </w:t>
      </w:r>
      <w:r w:rsidR="00A12BE6">
        <w:t>modified Debus</w:t>
      </w:r>
      <w:r w:rsidR="00A33D59">
        <w:sym w:font="Symbol" w:char="F02D"/>
      </w:r>
      <w:r w:rsidR="00A12BE6">
        <w:t xml:space="preserve">Radziszewski </w:t>
      </w:r>
      <w:r w:rsidR="001A452E">
        <w:t xml:space="preserve">reaction </w:t>
      </w:r>
      <w:r w:rsidR="00A12BE6">
        <w:t xml:space="preserve">to </w:t>
      </w:r>
      <w:r w:rsidR="00A401CC">
        <w:t xml:space="preserve">achieve </w:t>
      </w:r>
      <w:r w:rsidR="00A12BE6">
        <w:t>the synthesis of symmetrical 1,3-</w:t>
      </w:r>
      <w:r w:rsidR="00A12BE6" w:rsidRPr="00A12BE6">
        <w:t>dialkylimidazolium ionic liquids</w:t>
      </w:r>
      <w:r w:rsidR="00A12BE6">
        <w:t xml:space="preserve"> co</w:t>
      </w:r>
      <w:r w:rsidR="00A401CC">
        <w:t xml:space="preserve">mprising </w:t>
      </w:r>
      <w:r w:rsidR="001E12DB">
        <w:t xml:space="preserve">linear </w:t>
      </w:r>
      <w:r w:rsidR="00A401CC">
        <w:t>alkyl chains</w:t>
      </w:r>
      <w:r w:rsidR="00823314">
        <w:t xml:space="preserve"> up to </w:t>
      </w:r>
      <w:r>
        <w:t>16</w:t>
      </w:r>
      <w:r w:rsidR="00823314">
        <w:t xml:space="preserve"> carbon</w:t>
      </w:r>
      <w:r>
        <w:t xml:space="preserve"> atom</w:t>
      </w:r>
      <w:r w:rsidR="00823314">
        <w:t>s</w:t>
      </w:r>
      <w:r w:rsidR="00A401CC">
        <w:t>. Th</w:t>
      </w:r>
      <w:r w:rsidR="00310D7E">
        <w:t>e</w:t>
      </w:r>
      <w:r w:rsidR="00A401CC">
        <w:t xml:space="preserve"> p</w:t>
      </w:r>
      <w:r w:rsidR="00947540">
        <w:t xml:space="preserve">rocedure is </w:t>
      </w:r>
      <w:r>
        <w:t>very</w:t>
      </w:r>
      <w:r w:rsidR="00947540">
        <w:t xml:space="preserve"> effective, </w:t>
      </w:r>
      <w:r w:rsidR="00A401CC">
        <w:t>easy to implement</w:t>
      </w:r>
      <w:r w:rsidR="00C507AF">
        <w:t>,</w:t>
      </w:r>
      <w:r w:rsidR="00947540">
        <w:t xml:space="preserve"> and avoids</w:t>
      </w:r>
      <w:r w:rsidR="00A401CC">
        <w:t xml:space="preserve"> </w:t>
      </w:r>
      <w:r w:rsidR="00947540">
        <w:t xml:space="preserve">the </w:t>
      </w:r>
      <w:r w:rsidR="00823314">
        <w:t>use of</w:t>
      </w:r>
      <w:r w:rsidR="00781BC7">
        <w:t xml:space="preserve"> hazardous</w:t>
      </w:r>
      <w:r w:rsidR="00A401CC">
        <w:t xml:space="preserve"> </w:t>
      </w:r>
      <w:r w:rsidR="00823314">
        <w:t>diethyl ether</w:t>
      </w:r>
      <w:r w:rsidR="00C659CB">
        <w:t xml:space="preserve"> in the purification process</w:t>
      </w:r>
      <w:r w:rsidR="00A401CC">
        <w:t>.</w:t>
      </w:r>
      <w:r w:rsidR="001D54AD">
        <w:t xml:space="preserve"> </w:t>
      </w:r>
      <w:r w:rsidR="00F05542">
        <w:t>Moreover</w:t>
      </w:r>
      <w:r w:rsidR="001D54AD">
        <w:t xml:space="preserve">, this modification </w:t>
      </w:r>
      <w:r w:rsidR="00C507AF">
        <w:t>gives</w:t>
      </w:r>
      <w:r w:rsidR="001D54AD">
        <w:t xml:space="preserve"> direct access </w:t>
      </w:r>
      <w:r w:rsidR="00C507AF">
        <w:t>to</w:t>
      </w:r>
      <w:r w:rsidR="001D54AD">
        <w:t xml:space="preserve"> a </w:t>
      </w:r>
      <w:r w:rsidR="00310D7E">
        <w:t>series</w:t>
      </w:r>
      <w:r w:rsidR="001D54AD">
        <w:t xml:space="preserve"> of high </w:t>
      </w:r>
      <w:r w:rsidR="00781BC7">
        <w:t xml:space="preserve">molecular </w:t>
      </w:r>
      <w:r w:rsidR="001D54AD">
        <w:t xml:space="preserve">weight imidazoles with a </w:t>
      </w:r>
      <w:r w:rsidR="006E7B41">
        <w:t>limited</w:t>
      </w:r>
      <w:r w:rsidR="001D54AD">
        <w:t xml:space="preserve"> water solubility, which is of wide interest for their potential use </w:t>
      </w:r>
      <w:r w:rsidR="00C507AF">
        <w:t xml:space="preserve">in </w:t>
      </w:r>
      <w:r w:rsidR="005E37AB">
        <w:t>several</w:t>
      </w:r>
      <w:r w:rsidR="00C507AF">
        <w:t xml:space="preserve"> applications (e.g. </w:t>
      </w:r>
      <w:r w:rsidR="0016230A">
        <w:t>surfactants</w:t>
      </w:r>
      <w:r w:rsidR="00C507AF">
        <w:t xml:space="preserve">, </w:t>
      </w:r>
      <w:r w:rsidR="00E32D0F">
        <w:t xml:space="preserve">liquid crystals, </w:t>
      </w:r>
      <w:r w:rsidR="00CB1AEF">
        <w:t>precursors for lipophilic N-</w:t>
      </w:r>
      <w:r w:rsidR="00CB1AEF">
        <w:t>heterocyclic carbenes</w:t>
      </w:r>
      <w:r w:rsidR="00C507AF">
        <w:t>,</w:t>
      </w:r>
      <w:r w:rsidR="001D54AD">
        <w:t xml:space="preserve"> extractants</w:t>
      </w:r>
      <w:r w:rsidR="00C507AF">
        <w:t>, and</w:t>
      </w:r>
      <w:r w:rsidR="00CB1AEF">
        <w:t xml:space="preserve"> conductive media for batteries and fuels cells</w:t>
      </w:r>
      <w:r w:rsidR="00C507AF">
        <w:t>)</w:t>
      </w:r>
      <w:r w:rsidR="001D54AD">
        <w:t>.</w:t>
      </w:r>
    </w:p>
    <w:p w14:paraId="7C274FDF" w14:textId="68EAAB1D" w:rsidR="003809D9" w:rsidRDefault="003809D9" w:rsidP="000B50FA">
      <w:pPr>
        <w:pStyle w:val="RSCB02ArticleText"/>
      </w:pPr>
      <w:r>
        <w:t>We report herein an adaptation of the Debus</w:t>
      </w:r>
      <w:r>
        <w:sym w:font="Symbol" w:char="F02D"/>
      </w:r>
      <w:r>
        <w:t>Radizewski reaction to achieve a scalable one-pot procedure for the synthesis of long-chain imidazolium acetate salts. Our analysis showed that the formerly reported modified Debus</w:t>
      </w:r>
      <w:r>
        <w:sym w:font="Symbol" w:char="F02D"/>
      </w:r>
      <w:r>
        <w:t xml:space="preserve">Radizewski reaction is a nearly optimal synthetic procedure and an example of an </w:t>
      </w:r>
      <w:r w:rsidRPr="00CB1AEF">
        <w:rPr>
          <w:i/>
        </w:rPr>
        <w:t>on-water</w:t>
      </w:r>
      <w:r>
        <w:t xml:space="preserve"> reaction. </w:t>
      </w:r>
      <w:r w:rsidR="004363FD">
        <w:t>In this study however, the</w:t>
      </w:r>
      <w:r>
        <w:t xml:space="preserve"> reaction procedure </w:t>
      </w:r>
      <w:r w:rsidR="004363FD">
        <w:t>was</w:t>
      </w:r>
      <w:r>
        <w:t xml:space="preserve"> adjusted to favour the homogeneity of the </w:t>
      </w:r>
      <w:r w:rsidR="004363FD">
        <w:t xml:space="preserve">reaction </w:t>
      </w:r>
      <w:r>
        <w:t xml:space="preserve">mixture and to isolate the long-chain imidazolium salts from the crude product. Hence, the purification procedure was </w:t>
      </w:r>
      <w:r w:rsidR="004363FD">
        <w:t>changed in relation</w:t>
      </w:r>
      <w:r>
        <w:t xml:space="preserve"> to the increasing lipophilicity of the investigated compounds. Lastly, the synthesised salts were also derivatised to different ion pair couples to investigate the influence of the anion on these N,N-disubstituted long-chain imidazolium salts.</w:t>
      </w:r>
    </w:p>
    <w:p w14:paraId="549A677B" w14:textId="32DB5823" w:rsidR="00F0357E" w:rsidRDefault="00DE59EB" w:rsidP="00F0357E">
      <w:pPr>
        <w:pStyle w:val="RSCB04AHeadingSection"/>
      </w:pPr>
      <w:r>
        <w:t>Experimental</w:t>
      </w:r>
    </w:p>
    <w:p w14:paraId="39CD9CC6" w14:textId="77777777" w:rsidR="00F0357E" w:rsidRDefault="00F0357E" w:rsidP="00124E95">
      <w:pPr>
        <w:pStyle w:val="RSCB07BHeadingSub-Section-standalone"/>
      </w:pPr>
      <w:r>
        <w:t>Chemicals</w:t>
      </w:r>
    </w:p>
    <w:p w14:paraId="62A9A4C5" w14:textId="36AB3E88" w:rsidR="007C78B8" w:rsidRPr="00DA4112" w:rsidRDefault="007C78B8" w:rsidP="000B50FA">
      <w:pPr>
        <w:pStyle w:val="RSCB02ArticleText"/>
        <w:rPr>
          <w:noProof/>
        </w:rPr>
      </w:pPr>
      <w:r w:rsidRPr="00DE59EB">
        <w:t xml:space="preserve">Glyoxal (40 wt% in water), </w:t>
      </w:r>
      <w:r>
        <w:t xml:space="preserve">Oxalic acid (98%, 144-62-7), </w:t>
      </w:r>
      <w:r w:rsidRPr="00DE59EB">
        <w:t xml:space="preserve">and </w:t>
      </w:r>
      <w:r w:rsidR="00FA7126">
        <w:t>1-o</w:t>
      </w:r>
      <w:r w:rsidRPr="00DE59EB">
        <w:t>ctylamine (99+%</w:t>
      </w:r>
      <w:r>
        <w:t>, 111-86-4</w:t>
      </w:r>
      <w:r w:rsidRPr="00DE59EB">
        <w:t xml:space="preserve">) were purchased from Acros Organics (Geel, Belgium). </w:t>
      </w:r>
      <w:r w:rsidR="00FA7126">
        <w:t>1-</w:t>
      </w:r>
      <w:r w:rsidR="00E32D0F">
        <w:t>D</w:t>
      </w:r>
      <w:r w:rsidRPr="00DE59EB">
        <w:t>ecylamine (98%</w:t>
      </w:r>
      <w:r>
        <w:t xml:space="preserve">, </w:t>
      </w:r>
      <w:r w:rsidRPr="00E00EA3">
        <w:t>2016-57-1</w:t>
      </w:r>
      <w:r w:rsidRPr="00DE59EB">
        <w:t xml:space="preserve">) </w:t>
      </w:r>
      <w:r>
        <w:t xml:space="preserve">was </w:t>
      </w:r>
      <w:r w:rsidRPr="00DE59EB">
        <w:t xml:space="preserve">purchased from TCI Europe (Zwijndrecht, Belgium). </w:t>
      </w:r>
      <w:r w:rsidR="00FA7126">
        <w:t>1-h</w:t>
      </w:r>
      <w:r w:rsidRPr="00DE59EB">
        <w:t>exadecylamine (</w:t>
      </w:r>
      <w:r>
        <w:t xml:space="preserve">94%, </w:t>
      </w:r>
      <w:r w:rsidRPr="00E016DF">
        <w:t>143-27-1</w:t>
      </w:r>
      <w:r w:rsidRPr="00DE59EB">
        <w:t xml:space="preserve">) and </w:t>
      </w:r>
      <w:r w:rsidR="00FA7126">
        <w:t>1-o</w:t>
      </w:r>
      <w:r w:rsidRPr="00DE59EB">
        <w:t>ctadecylamine (</w:t>
      </w:r>
      <w:r w:rsidRPr="007C78B8">
        <w:t>≥</w:t>
      </w:r>
      <w:r w:rsidRPr="00DE59EB">
        <w:t xml:space="preserve">85%, </w:t>
      </w:r>
      <w:r w:rsidRPr="00E016DF">
        <w:t>124-30-1</w:t>
      </w:r>
      <w:r w:rsidRPr="00DE59EB">
        <w:t xml:space="preserve">) were obtained from Merck (Heverlee, Belgium). </w:t>
      </w:r>
      <w:r w:rsidR="00FA7126">
        <w:t>1-h</w:t>
      </w:r>
      <w:r w:rsidRPr="00DE59EB">
        <w:t>exy</w:t>
      </w:r>
      <w:r>
        <w:t>lamine (99%, 111-26-2) and nitric acid (70 wt</w:t>
      </w:r>
      <w:r w:rsidRPr="00DE59EB">
        <w:t>%</w:t>
      </w:r>
      <w:r>
        <w:t xml:space="preserve"> in water, 7697-37-2</w:t>
      </w:r>
      <w:r w:rsidRPr="00DE59EB">
        <w:t>) were bought from Sigma-Aldrich (Diegem, Belgium).</w:t>
      </w:r>
      <w:r w:rsidRPr="009A73FA">
        <w:t xml:space="preserve"> </w:t>
      </w:r>
      <w:r w:rsidR="00E32D0F">
        <w:t>1-D</w:t>
      </w:r>
      <w:r w:rsidR="00E32D0F" w:rsidRPr="00DE59EB">
        <w:t>odecylamine (98%</w:t>
      </w:r>
      <w:r w:rsidR="00E32D0F">
        <w:t xml:space="preserve">, </w:t>
      </w:r>
      <w:r w:rsidR="00E32D0F" w:rsidRPr="00E00EA3">
        <w:t>124-22-1‎</w:t>
      </w:r>
      <w:r w:rsidR="00E32D0F" w:rsidRPr="00DE59EB">
        <w:t xml:space="preserve">) </w:t>
      </w:r>
      <w:r w:rsidR="00E32D0F">
        <w:t xml:space="preserve">and </w:t>
      </w:r>
      <w:r w:rsidR="00FA7126">
        <w:t>1-t</w:t>
      </w:r>
      <w:r w:rsidRPr="00DE59EB">
        <w:t xml:space="preserve">etradecylamine </w:t>
      </w:r>
      <w:r>
        <w:t xml:space="preserve">(98%, </w:t>
      </w:r>
      <w:r w:rsidRPr="00E00EA3">
        <w:t>2016-42-4</w:t>
      </w:r>
      <w:r>
        <w:t xml:space="preserve">) </w:t>
      </w:r>
      <w:r w:rsidRPr="00DE59EB">
        <w:t>w</w:t>
      </w:r>
      <w:r w:rsidR="00E32D0F">
        <w:t>ere</w:t>
      </w:r>
      <w:r>
        <w:t xml:space="preserve"> purchased from Janssen</w:t>
      </w:r>
      <w:r w:rsidR="00E32D0F">
        <w:t>-Chemica</w:t>
      </w:r>
      <w:r>
        <w:t xml:space="preserve"> (</w:t>
      </w:r>
      <w:r w:rsidRPr="00DE59EB">
        <w:t>Beerse, Belgium</w:t>
      </w:r>
      <w:r>
        <w:rPr>
          <w:noProof/>
        </w:rPr>
        <w:t>).</w:t>
      </w:r>
      <w:r w:rsidRPr="00DE59EB">
        <w:rPr>
          <w:noProof/>
        </w:rPr>
        <w:t xml:space="preserve"> Acetic acid</w:t>
      </w:r>
      <w:r>
        <w:rPr>
          <w:noProof/>
        </w:rPr>
        <w:t>, glacial</w:t>
      </w:r>
      <w:r w:rsidRPr="00DE59EB">
        <w:rPr>
          <w:noProof/>
        </w:rPr>
        <w:t xml:space="preserve"> (</w:t>
      </w:r>
      <w:r>
        <w:rPr>
          <w:noProof/>
        </w:rPr>
        <w:t>100%, 64-19-7</w:t>
      </w:r>
      <w:r w:rsidRPr="00DE59EB">
        <w:rPr>
          <w:noProof/>
        </w:rPr>
        <w:t>)</w:t>
      </w:r>
      <w:r>
        <w:rPr>
          <w:noProof/>
        </w:rPr>
        <w:t xml:space="preserve">, hydrochloric acid (37 wt% in water, </w:t>
      </w:r>
      <w:r w:rsidRPr="007B142B">
        <w:t>7647-01-0</w:t>
      </w:r>
      <w:r>
        <w:t>)</w:t>
      </w:r>
      <w:r w:rsidRPr="00DE59EB">
        <w:t xml:space="preserve"> and </w:t>
      </w:r>
      <w:r>
        <w:t>formaldehyde (36</w:t>
      </w:r>
      <w:r w:rsidRPr="00DE59EB">
        <w:t xml:space="preserve"> wt</w:t>
      </w:r>
      <w:r w:rsidRPr="00DE59EB">
        <w:rPr>
          <w:noProof/>
        </w:rPr>
        <w:t>%</w:t>
      </w:r>
      <w:r>
        <w:rPr>
          <w:noProof/>
        </w:rPr>
        <w:t xml:space="preserve"> </w:t>
      </w:r>
      <w:r>
        <w:t>in water, 50-00-0</w:t>
      </w:r>
      <w:r w:rsidRPr="00DE59EB">
        <w:t xml:space="preserve">) were obtained from Fisher Scientific Limited (Loughborough, </w:t>
      </w:r>
      <w:r w:rsidRPr="00DE59EB">
        <w:rPr>
          <w:noProof/>
        </w:rPr>
        <w:t xml:space="preserve">UK). </w:t>
      </w:r>
      <w:r w:rsidR="00E32D0F">
        <w:t>Petroleum ether (b.p. 40</w:t>
      </w:r>
      <w:r w:rsidR="00E32D0F" w:rsidRPr="00D97565">
        <w:t>-6</w:t>
      </w:r>
      <w:r w:rsidR="00E32D0F">
        <w:t>5</w:t>
      </w:r>
      <w:r w:rsidR="00E32D0F" w:rsidRPr="00D97565">
        <w:t xml:space="preserve"> °C</w:t>
      </w:r>
      <w:r w:rsidR="00E32D0F">
        <w:t>, technical grade) and acetonitrile (</w:t>
      </w:r>
      <w:r w:rsidR="00E32D0F" w:rsidRPr="00E32D0F">
        <w:t>≥99.8%</w:t>
      </w:r>
      <w:r w:rsidR="00E32D0F">
        <w:t xml:space="preserve">) were obtained from VWR (Heverlee, Belgium). </w:t>
      </w:r>
      <w:r>
        <w:rPr>
          <w:noProof/>
        </w:rPr>
        <w:t>Petroleum ether was distilled prior to use</w:t>
      </w:r>
      <w:r>
        <w:t xml:space="preserve"> to remove high boiling residues</w:t>
      </w:r>
      <w:r w:rsidR="009832FD">
        <w:t>.</w:t>
      </w:r>
      <w:r w:rsidRPr="00C4161F">
        <w:t xml:space="preserve"> </w:t>
      </w:r>
      <w:r w:rsidR="009832FD">
        <w:rPr>
          <w:noProof/>
        </w:rPr>
        <w:t>A</w:t>
      </w:r>
      <w:r w:rsidRPr="00DE59EB">
        <w:rPr>
          <w:noProof/>
        </w:rPr>
        <w:t xml:space="preserve">ll </w:t>
      </w:r>
      <w:r>
        <w:rPr>
          <w:noProof/>
        </w:rPr>
        <w:t xml:space="preserve">other </w:t>
      </w:r>
      <w:r w:rsidRPr="00DE59EB">
        <w:rPr>
          <w:noProof/>
        </w:rPr>
        <w:t>chemicals were used</w:t>
      </w:r>
      <w:r w:rsidR="00E32D0F">
        <w:rPr>
          <w:noProof/>
        </w:rPr>
        <w:t xml:space="preserve"> as received</w:t>
      </w:r>
      <w:r w:rsidRPr="00DE59EB">
        <w:rPr>
          <w:noProof/>
        </w:rPr>
        <w:t xml:space="preserve"> without further purification.</w:t>
      </w:r>
    </w:p>
    <w:p w14:paraId="34B187DA" w14:textId="51F0E19F" w:rsidR="004F0929" w:rsidRDefault="00DE59EB" w:rsidP="00124E95">
      <w:pPr>
        <w:pStyle w:val="RSCB07BHeadingSub-Section-standalone"/>
      </w:pPr>
      <w:r w:rsidRPr="00DE59EB">
        <w:t>Instrumentation and materials</w:t>
      </w:r>
    </w:p>
    <w:p w14:paraId="042E643B" w14:textId="694B9A40" w:rsidR="00DE59EB" w:rsidRDefault="00DA71EC" w:rsidP="000B50FA">
      <w:pPr>
        <w:pStyle w:val="RSCB02ArticleText"/>
      </w:pPr>
      <w:r>
        <w:t xml:space="preserve">Nuclear magnetic resonance spectra were performed on a spectrometer (Bruker Avance 400) </w:t>
      </w:r>
      <w:r w:rsidRPr="00C04A3A">
        <w:t xml:space="preserve">operating at a </w:t>
      </w:r>
      <w:r w:rsidRPr="0012525E">
        <w:t>¹</w:t>
      </w:r>
      <w:r w:rsidRPr="00C04A3A">
        <w:t xml:space="preserve">H frequency of </w:t>
      </w:r>
      <w:r>
        <w:t>400</w:t>
      </w:r>
      <w:r w:rsidRPr="00C04A3A">
        <w:t xml:space="preserve"> MHz</w:t>
      </w:r>
      <w:r>
        <w:t>. Fourier transform infrared spectra were recorded with a resolution of 2 cm</w:t>
      </w:r>
      <w:r w:rsidRPr="0012525E">
        <w:t>⁻¹</w:t>
      </w:r>
      <w:r>
        <w:t xml:space="preserve"> on a spectrometer (Bruker Vertex 70) in ATR mode (Bruker Platinum ATR module). TGA and DSC analysis were carried out on a TA Instruments TGA Q500 and a TA Instruments DSC Q2000 respectively, in aluminium sample pans with a heating/cooling rate of 10 </w:t>
      </w:r>
      <w:r w:rsidRPr="007C78B8">
        <w:t>°C</w:t>
      </w:r>
      <w:r>
        <w:t xml:space="preserve"> min⁻¹ operating under a nitrogen flow of 60 mL min</w:t>
      </w:r>
      <w:r w:rsidRPr="0012525E">
        <w:t>⁻¹</w:t>
      </w:r>
      <w:r>
        <w:t>. Ionic liquids were</w:t>
      </w:r>
      <w:r>
        <w:rPr>
          <w:noProof/>
        </w:rPr>
        <w:t xml:space="preserve"> pre-dried for 60 min at 80 </w:t>
      </w:r>
      <w:r w:rsidRPr="007C78B8">
        <w:rPr>
          <w:noProof/>
        </w:rPr>
        <w:t>°C prior to the TGA measurement. Vacuum measur</w:t>
      </w:r>
      <w:r>
        <w:rPr>
          <w:noProof/>
        </w:rPr>
        <w:t xml:space="preserve">ement were carried out with a </w:t>
      </w:r>
      <w:r w:rsidRPr="007C78B8">
        <w:rPr>
          <w:noProof/>
        </w:rPr>
        <w:t>digital manometer</w:t>
      </w:r>
      <w:r>
        <w:rPr>
          <w:noProof/>
        </w:rPr>
        <w:t xml:space="preserve"> (</w:t>
      </w:r>
      <w:r w:rsidRPr="007C78B8">
        <w:rPr>
          <w:noProof/>
        </w:rPr>
        <w:t>Pfeiffer TPG 201</w:t>
      </w:r>
      <w:r>
        <w:rPr>
          <w:noProof/>
        </w:rPr>
        <w:t>)</w:t>
      </w:r>
      <w:r w:rsidRPr="007C78B8">
        <w:rPr>
          <w:noProof/>
        </w:rPr>
        <w:t>. Disposable funnel filters (Chemrus® disposable filter funnel, PP body with PE fritted disk, 18 mL, 25 mm</w:t>
      </w:r>
      <w:r w:rsidRPr="00DA71EC">
        <w:rPr>
          <w:noProof/>
        </w:rPr>
        <w:t xml:space="preserve"> Ø, 10 μm pore Ø) were used</w:t>
      </w:r>
      <w:r w:rsidRPr="00DA71EC">
        <w:t xml:space="preserve"> for the sample filtration (with exception of the fluoride samples, which melted PP plastics).</w:t>
      </w:r>
    </w:p>
    <w:p w14:paraId="2030EE3B" w14:textId="77D7210F" w:rsidR="00E36083" w:rsidRPr="007D782F" w:rsidRDefault="00235D91" w:rsidP="00E36083">
      <w:pPr>
        <w:pStyle w:val="RSCB07BHeadingSub-Section-standalone"/>
        <w:rPr>
          <w:lang w:val="en-US"/>
        </w:rPr>
      </w:pPr>
      <w:bookmarkStart w:id="4" w:name="_Toc22490682"/>
      <w:r>
        <w:lastRenderedPageBreak/>
        <w:t>1,3-Di(o</w:t>
      </w:r>
      <w:r w:rsidR="007D782F">
        <w:t>ctyl)</w:t>
      </w:r>
      <w:r w:rsidR="00E36083">
        <w:t>imidazolium acetate</w:t>
      </w:r>
      <w:r w:rsidR="007D782F">
        <w:t xml:space="preserve"> (</w:t>
      </w:r>
      <w:r w:rsidR="007D782F" w:rsidRPr="00DB06E2">
        <w:rPr>
          <w:lang w:val="en-US"/>
        </w:rPr>
        <w:t>[C₈C₈IM][Ac]</w:t>
      </w:r>
      <w:r w:rsidR="007D782F">
        <w:rPr>
          <w:lang w:val="en-US"/>
        </w:rPr>
        <w:t>)</w:t>
      </w:r>
      <w:bookmarkEnd w:id="4"/>
    </w:p>
    <w:p w14:paraId="685BFDD0" w14:textId="5D24E56F" w:rsidR="00E36083" w:rsidRDefault="005E5A4A" w:rsidP="000B50FA">
      <w:pPr>
        <w:pStyle w:val="RSCB02ArticleText"/>
      </w:pPr>
      <w:r w:rsidRPr="005E5A4A">
        <w:rPr>
          <w:rFonts w:ascii="Malgun Gothic" w:eastAsia="Malgun Gothic" w:hAnsi="Malgun Gothic" w:cs="Malgun Gothic"/>
        </w:rPr>
        <w:t>The</w:t>
      </w:r>
      <w:r w:rsidRPr="008E53A7">
        <w:t xml:space="preserve"> synthesis was carried out following the general procedure</w:t>
      </w:r>
      <w:r w:rsidR="00FF1948">
        <w:t xml:space="preserve"> (ESI. Synthetical</w:t>
      </w:r>
      <w:r w:rsidR="00FF1948" w:rsidRPr="00D865C7">
        <w:t xml:space="preserve"> procedure </w:t>
      </w:r>
      <w:r w:rsidR="00FF1948">
        <w:t>1)</w:t>
      </w:r>
      <w:r w:rsidRPr="008E53A7">
        <w:t xml:space="preserve"> with </w:t>
      </w:r>
      <w:r w:rsidR="00FA7126">
        <w:t>1-o</w:t>
      </w:r>
      <w:r w:rsidRPr="008E53A7">
        <w:t>ctylamine (99%, 25.654</w:t>
      </w:r>
      <w:r w:rsidR="009832FD">
        <w:t xml:space="preserve"> </w:t>
      </w:r>
      <w:r w:rsidRPr="008E53A7">
        <w:t>g, 20.065</w:t>
      </w:r>
      <w:r w:rsidR="009832FD">
        <w:t xml:space="preserve"> </w:t>
      </w:r>
      <w:r w:rsidRPr="008E53A7">
        <w:t>mL, 0.2 mol), formaldehyde (36.5-38%, 8.34</w:t>
      </w:r>
      <w:r w:rsidR="009832FD">
        <w:t xml:space="preserve"> </w:t>
      </w:r>
      <w:r w:rsidRPr="008E53A7">
        <w:t>g, 7.65</w:t>
      </w:r>
      <w:r w:rsidR="009832FD">
        <w:t xml:space="preserve"> </w:t>
      </w:r>
      <w:r w:rsidRPr="008E53A7">
        <w:t>mL, 0.1</w:t>
      </w:r>
      <w:r w:rsidR="009832FD">
        <w:t xml:space="preserve"> </w:t>
      </w:r>
      <w:r w:rsidRPr="008E53A7">
        <w:t>mol), acetic acid (99.9%, 9.01</w:t>
      </w:r>
      <w:r w:rsidR="009832FD">
        <w:t xml:space="preserve"> </w:t>
      </w:r>
      <w:r w:rsidRPr="008E53A7">
        <w:t>g, 8.59</w:t>
      </w:r>
      <w:r w:rsidR="009832FD">
        <w:t xml:space="preserve"> </w:t>
      </w:r>
      <w:r w:rsidRPr="008E53A7">
        <w:t>mL, 0.15</w:t>
      </w:r>
      <w:r w:rsidR="009832FD">
        <w:t xml:space="preserve"> </w:t>
      </w:r>
      <w:r w:rsidRPr="008E53A7">
        <w:t>mol), glyoxal (40%, 14.51</w:t>
      </w:r>
      <w:r w:rsidR="009832FD">
        <w:t xml:space="preserve"> </w:t>
      </w:r>
      <w:r w:rsidRPr="008E53A7">
        <w:t>g, 11.15</w:t>
      </w:r>
      <w:r w:rsidR="009832FD">
        <w:t xml:space="preserve"> </w:t>
      </w:r>
      <w:r w:rsidRPr="008E53A7">
        <w:t>mL, 0.1</w:t>
      </w:r>
      <w:r w:rsidR="009832FD">
        <w:t xml:space="preserve"> </w:t>
      </w:r>
      <w:r w:rsidRPr="008E53A7">
        <w:t>mol). Isolated yield 34.94</w:t>
      </w:r>
      <w:r w:rsidR="009832FD">
        <w:t xml:space="preserve"> </w:t>
      </w:r>
      <w:r w:rsidRPr="008E53A7">
        <w:t xml:space="preserve">g, 92% (≈0.5 eq of residual acetic acid). </w:t>
      </w:r>
      <w:r>
        <w:t>Pale to dark</w:t>
      </w:r>
      <w:r w:rsidRPr="008E53A7">
        <w:t xml:space="preserve"> orange oil.</w:t>
      </w:r>
      <w:r w:rsidRPr="000E43E4">
        <w:t xml:space="preserve"> </w:t>
      </w:r>
      <w:r w:rsidR="00533C16" w:rsidRPr="005E5A4A">
        <w:t>Decomposition temperature: 223</w:t>
      </w:r>
      <w:r w:rsidRPr="005E5A4A">
        <w:t xml:space="preserve"> °C. ¹H NMR (300 MHz, CDCl₃, Me₄Si, δ/ppm): 0.87 (6 H, t, J 6.45), 1.29 (24 H, dt, J 19.11, 4.48), 1.88 (4 H, p, J 7.28, 7.27), 2.02 (3 H, s), 4.34 (4 H, t, J 7.40), 7.10 (2 H, d, J 1.59), 11.67 (1</w:t>
      </w:r>
      <w:r w:rsidRPr="005E5A4A">
        <w:rPr>
          <w:lang w:bidi="my-MM"/>
        </w:rPr>
        <w:t xml:space="preserve"> </w:t>
      </w:r>
      <w:r w:rsidRPr="005E5A4A">
        <w:rPr>
          <w:lang w:bidi="he-IL"/>
        </w:rPr>
        <w:t>H</w:t>
      </w:r>
      <w:r w:rsidRPr="005E5A4A">
        <w:t>, s). ¹³C NMR (100 MHz, CDCl₃, Me₄Si, δ/ppm): 176.7, 139.6, 121.2, 49.9, 31.7, 30.3, 29.0, 29.0, 26.2, 23.7,</w:t>
      </w:r>
      <w:r w:rsidRPr="005E5A4A">
        <w:rPr>
          <w:lang w:bidi="my-MM"/>
        </w:rPr>
        <w:t xml:space="preserve"> </w:t>
      </w:r>
      <w:r w:rsidRPr="005E5A4A">
        <w:t>22.6,</w:t>
      </w:r>
      <w:r w:rsidRPr="005E5A4A">
        <w:rPr>
          <w:lang w:bidi="he-IL"/>
        </w:rPr>
        <w:t xml:space="preserve"> </w:t>
      </w:r>
      <w:r w:rsidRPr="005E5A4A">
        <w:t xml:space="preserve">14.1. IR (Diamond-ATR, neat, cm⁻¹): 2955, 2924, 2856, 1701, 1580, 1466, 1379, 1251, 1165, 1045, 1000, 875, 771, 723, 650, 610, 445. </w:t>
      </w:r>
    </w:p>
    <w:p w14:paraId="06E154B6" w14:textId="23E25F4B" w:rsidR="00E36083" w:rsidRPr="007D782F" w:rsidRDefault="00235D91" w:rsidP="00E36083">
      <w:pPr>
        <w:pStyle w:val="RSCB07BHeadingSub-Section-standalone"/>
      </w:pPr>
      <w:bookmarkStart w:id="5" w:name="_Toc22490683"/>
      <w:r>
        <w:t>1,3-Di(o</w:t>
      </w:r>
      <w:r w:rsidR="007D782F" w:rsidRPr="007D782F">
        <w:t>ctyl)</w:t>
      </w:r>
      <w:r w:rsidR="00E36083" w:rsidRPr="007D782F">
        <w:t>imidazolium nitrate</w:t>
      </w:r>
      <w:r w:rsidR="007D782F" w:rsidRPr="007D782F">
        <w:t xml:space="preserve"> ([C₈C₈IM][NO</w:t>
      </w:r>
      <w:r w:rsidR="007D782F" w:rsidRPr="007D782F">
        <w:rPr>
          <w:rFonts w:cstheme="minorHAnsi"/>
        </w:rPr>
        <w:t>₃</w:t>
      </w:r>
      <w:r w:rsidR="007D782F" w:rsidRPr="007D782F">
        <w:t>])</w:t>
      </w:r>
      <w:bookmarkEnd w:id="5"/>
    </w:p>
    <w:p w14:paraId="0D7B6D43" w14:textId="76BF0A05" w:rsidR="00E36083" w:rsidRDefault="005E5A4A" w:rsidP="000B50FA">
      <w:pPr>
        <w:pStyle w:val="RSCB02ArticleText"/>
      </w:pPr>
      <w:r w:rsidRPr="00056C9D">
        <w:t>The synthesis was carried out following the general procedure</w:t>
      </w:r>
      <w:r w:rsidR="00D865C7">
        <w:t xml:space="preserve"> (ESI. Synthetical</w:t>
      </w:r>
      <w:r w:rsidR="00D865C7" w:rsidRPr="00D865C7">
        <w:t xml:space="preserve"> procedure </w:t>
      </w:r>
      <w:r w:rsidR="00D865C7">
        <w:t>5)</w:t>
      </w:r>
      <w:r w:rsidRPr="00056C9D">
        <w:t xml:space="preserve"> </w:t>
      </w:r>
      <w:r w:rsidR="009B4C87">
        <w:t>with 1,3-di</w:t>
      </w:r>
      <w:r w:rsidR="00FA7126">
        <w:t>(o</w:t>
      </w:r>
      <w:r w:rsidRPr="00056C9D">
        <w:t>ctyl)imidazolium acetate (0.8061 g, 2.</w:t>
      </w:r>
      <w:r>
        <w:t>29</w:t>
      </w:r>
      <w:r w:rsidRPr="00056C9D">
        <w:t xml:space="preserve"> mmol). Isolated yield 0.8200 g, 100%. </w:t>
      </w:r>
      <w:r>
        <w:t>Orange viscous</w:t>
      </w:r>
      <w:r w:rsidRPr="00056C9D">
        <w:t xml:space="preserve"> oil</w:t>
      </w:r>
      <w:r>
        <w:t>.</w:t>
      </w:r>
      <w:r w:rsidRPr="00735567">
        <w:t xml:space="preserve"> </w:t>
      </w:r>
      <w:r w:rsidR="00533C16" w:rsidRPr="005E5A4A">
        <w:t>Decomposition temperature: 285</w:t>
      </w:r>
      <w:r w:rsidRPr="005E5A4A">
        <w:t xml:space="preserve"> °C. ¹H NMR (400 MHz, CDCl₃, Me₄Si, δ/ppm): 0.83 - 0.91 (6 H, m), 1.23 - 1.36 (20 H, m), 1.89 (4 H, dq, J 14.98, 7.85, 7.46), 4.26 (4 H, t, J 7.41), 7.26 (2 H, d, J 1.68), 10.17 (1 H, s). ¹³C NMR (100 MHz, CDCl₃, Me₄Si, δ/ppm): 137.2, 122.4, 50.1, 31.7, 30.3, 29.0, 28.9, 26.2, 22.6, 14.1. IR (Diamond-ATR, neat, cm⁻¹): 3135, 3089, 3039, 2955, 2924, 2855, 1744, 1671, 1564, 1465, 1334, 1162, 1122, 1070, 1039, 951, 869, 829, 770, 723, 657, 646, 585, 557, 550, 540, 532, 515, 509, 501, 491, 484, 480, 469, 465, 460, 448, 442, 437, 431, 425, 420, 414, 403. </w:t>
      </w:r>
    </w:p>
    <w:p w14:paraId="4DAB962A" w14:textId="55D40DEC" w:rsidR="00DB3EE5" w:rsidRPr="004F0929" w:rsidRDefault="00235D91" w:rsidP="00DB3EE5">
      <w:pPr>
        <w:pStyle w:val="RSCB07BHeadingSub-Section-standalone"/>
      </w:pPr>
      <w:bookmarkStart w:id="6" w:name="_Toc22490684"/>
      <w:bookmarkStart w:id="7" w:name="_Toc22490685"/>
      <w:r>
        <w:t>1,3-Di(o</w:t>
      </w:r>
      <w:r w:rsidR="007D782F">
        <w:t>ctyl)</w:t>
      </w:r>
      <w:r w:rsidR="00DB3EE5">
        <w:t xml:space="preserve">imidazolium </w:t>
      </w:r>
      <w:r w:rsidR="00DB3EE5" w:rsidRPr="00E86D33">
        <w:t>chloride</w:t>
      </w:r>
      <w:r w:rsidR="007D782F">
        <w:t xml:space="preserve"> (</w:t>
      </w:r>
      <w:r w:rsidR="007D782F" w:rsidRPr="00DB06E2">
        <w:rPr>
          <w:lang w:val="en-US"/>
        </w:rPr>
        <w:t>[C₈C₈IM][</w:t>
      </w:r>
      <w:r w:rsidR="007D782F">
        <w:rPr>
          <w:lang w:val="en-US"/>
        </w:rPr>
        <w:t>Cl</w:t>
      </w:r>
      <w:r w:rsidR="007D782F" w:rsidRPr="00DB06E2">
        <w:rPr>
          <w:lang w:val="en-US"/>
        </w:rPr>
        <w:t>]</w:t>
      </w:r>
      <w:r w:rsidR="007D782F">
        <w:rPr>
          <w:lang w:val="en-US"/>
        </w:rPr>
        <w:t>)</w:t>
      </w:r>
      <w:bookmarkEnd w:id="6"/>
      <w:r w:rsidR="00DB3EE5" w:rsidRPr="004F0929">
        <w:t xml:space="preserve"> </w:t>
      </w:r>
    </w:p>
    <w:p w14:paraId="602D25B5" w14:textId="045C7164" w:rsidR="00DB3EE5" w:rsidRDefault="005E5A4A" w:rsidP="000B50FA">
      <w:pPr>
        <w:pStyle w:val="RSCB02ArticleText"/>
      </w:pPr>
      <w:r w:rsidRPr="00735567">
        <w:t>The synthesis was carried out following the general procedure</w:t>
      </w:r>
      <w:r w:rsidR="00FF1948">
        <w:t xml:space="preserve"> (ESI. Synthetical</w:t>
      </w:r>
      <w:r w:rsidR="00FF1948" w:rsidRPr="00D865C7">
        <w:t xml:space="preserve"> procedure </w:t>
      </w:r>
      <w:r w:rsidR="00FF1948">
        <w:t>4)</w:t>
      </w:r>
      <w:r w:rsidRPr="00735567">
        <w:t xml:space="preserve"> </w:t>
      </w:r>
      <w:r w:rsidR="009B4C87">
        <w:t>with 1,3-di</w:t>
      </w:r>
      <w:r w:rsidR="00FA7126">
        <w:t>(o</w:t>
      </w:r>
      <w:r w:rsidRPr="00735567">
        <w:t>ctyl)imidazolium acetate (0.4003</w:t>
      </w:r>
      <w:r w:rsidR="00537EB8">
        <w:t xml:space="preserve"> </w:t>
      </w:r>
      <w:r w:rsidRPr="00735567">
        <w:t>g, 1.1</w:t>
      </w:r>
      <w:r>
        <w:t>4</w:t>
      </w:r>
      <w:r w:rsidRPr="00735567">
        <w:t xml:space="preserve"> mmol). Isolated yield 0.3051. g, </w:t>
      </w:r>
      <w:r w:rsidR="00E72545">
        <w:t>82</w:t>
      </w:r>
      <w:r w:rsidRPr="00735567">
        <w:t xml:space="preserve">%. </w:t>
      </w:r>
      <w:r>
        <w:t>Pale yellow colloid</w:t>
      </w:r>
      <w:r w:rsidRPr="00735567">
        <w:t xml:space="preserve">. </w:t>
      </w:r>
      <w:r w:rsidR="00533C16" w:rsidRPr="005E5A4A">
        <w:t>Decomposition temperature: 25</w:t>
      </w:r>
      <w:r w:rsidR="00533C16">
        <w:t>7</w:t>
      </w:r>
      <w:r w:rsidRPr="005E5A4A">
        <w:t xml:space="preserve"> °C. ¹H NMR (400 MHz, CDCl₃, Me₄Si, δ/ppm): 0.80 - 0.94 (6 H, m), 1.19 - 1.38 (20 H, m), 1.92 (4 H, p, J 7.20, 6.99), 4.28 - 4.43 (4 H, m), 7.21 (2 H, d, J 1.64), 11.15 (1 H, d, J 1.72). ¹³C NMR (100 MHz, CDCl₃, Me₄Si, δ/ppm): 137.5, 122.2, 50.0, 31.7, 30.4, 29.1, 29.0, 26.3, 22.6, 14.1. IR (Diamond-ATR, neat, cm⁻¹): 3379, 3132, 3060, 2956, 2923, 2872, 2854, 1637, 1562, 1407, 1377, 1332, 1307, 1246, 1162, 1122, 1023, 773, 723, 658, 607, 569, 502, 438, 410. </w:t>
      </w:r>
    </w:p>
    <w:p w14:paraId="45E02265" w14:textId="6006E87F" w:rsidR="00DB3EE5" w:rsidRPr="004F0929" w:rsidRDefault="00235D91" w:rsidP="00DB3EE5">
      <w:pPr>
        <w:pStyle w:val="RSCB07BHeadingSub-Section-standalone"/>
      </w:pPr>
      <w:r>
        <w:t>1,3-Di(o</w:t>
      </w:r>
      <w:r w:rsidR="007D782F">
        <w:t>ctyl)</w:t>
      </w:r>
      <w:r w:rsidR="00DB3EE5">
        <w:t xml:space="preserve">imidazolium </w:t>
      </w:r>
      <w:r w:rsidR="001652C6">
        <w:t>hydr</w:t>
      </w:r>
      <w:r w:rsidR="00DB3EE5">
        <w:t>oxalate</w:t>
      </w:r>
      <w:r w:rsidR="007D782F">
        <w:t xml:space="preserve"> (</w:t>
      </w:r>
      <w:r w:rsidR="007D782F" w:rsidRPr="00DB06E2">
        <w:rPr>
          <w:lang w:val="en-US"/>
        </w:rPr>
        <w:t>[C₈C₈IM][</w:t>
      </w:r>
      <w:r w:rsidR="007D782F">
        <w:rPr>
          <w:lang w:val="en-US"/>
        </w:rPr>
        <w:t>Ox</w:t>
      </w:r>
      <w:r w:rsidR="007D782F" w:rsidRPr="00DB06E2">
        <w:rPr>
          <w:lang w:val="en-US"/>
        </w:rPr>
        <w:t>]</w:t>
      </w:r>
      <w:r w:rsidR="007D782F">
        <w:rPr>
          <w:lang w:val="en-US"/>
        </w:rPr>
        <w:t>)</w:t>
      </w:r>
    </w:p>
    <w:p w14:paraId="5606CF47" w14:textId="49282B77" w:rsidR="00C95AEA" w:rsidRDefault="005E5A4A" w:rsidP="000B50FA">
      <w:pPr>
        <w:pStyle w:val="RSCB02ArticleText"/>
      </w:pPr>
      <w:r w:rsidRPr="007B226B">
        <w:t>The synthesis was carried out following the general procedure</w:t>
      </w:r>
      <w:r w:rsidR="00D865C7">
        <w:t xml:space="preserve"> (ESI. Synthetical</w:t>
      </w:r>
      <w:r w:rsidR="00D865C7" w:rsidRPr="00D865C7">
        <w:t xml:space="preserve"> procedure </w:t>
      </w:r>
      <w:r w:rsidR="00D865C7">
        <w:t>6)</w:t>
      </w:r>
      <w:r w:rsidRPr="007B226B">
        <w:t xml:space="preserve"> </w:t>
      </w:r>
      <w:r w:rsidR="009B4C87">
        <w:t>with 1,3-di</w:t>
      </w:r>
      <w:r w:rsidR="00FA7126">
        <w:t>(o</w:t>
      </w:r>
      <w:r w:rsidRPr="007B226B">
        <w:t>ctyl)imidazolium acetate (0.8149 g, 2.3</w:t>
      </w:r>
      <w:r>
        <w:t>1</w:t>
      </w:r>
      <w:r w:rsidRPr="007B226B">
        <w:t xml:space="preserve"> mmol). Isolated yield 0.8925 g, 100</w:t>
      </w:r>
      <w:r w:rsidR="003B2EC9">
        <w:t>%</w:t>
      </w:r>
      <w:r w:rsidRPr="007B226B">
        <w:t xml:space="preserve">. Dark amber </w:t>
      </w:r>
      <w:r>
        <w:t>solid</w:t>
      </w:r>
      <w:r w:rsidRPr="007B226B">
        <w:t>.</w:t>
      </w:r>
      <w:r w:rsidRPr="00777083">
        <w:t xml:space="preserve"> Melting point: </w:t>
      </w:r>
      <w:r w:rsidR="00E72545">
        <w:t>74 °C</w:t>
      </w:r>
      <w:r w:rsidRPr="00777083">
        <w:t xml:space="preserve">. </w:t>
      </w:r>
      <w:r w:rsidRPr="007B226B">
        <w:t xml:space="preserve"> </w:t>
      </w:r>
      <w:r w:rsidR="00533C16" w:rsidRPr="005E5A4A">
        <w:t>Decomposition temperature: 22</w:t>
      </w:r>
      <w:r w:rsidR="00533C16">
        <w:t>7</w:t>
      </w:r>
      <w:r w:rsidRPr="005E5A4A">
        <w:t xml:space="preserve"> °C. ¹H NMR (400 MHz, CDCl₃, Me₄Si, δ/ppm): 0.85 (6 H, t, J 6.76), 1.26 (24 H, dd, J 14.32, 7.52), 1.82 (4 H, d, J 7.22), 4.22 (4 H, t, J 7.14), 7.33 (2 H, s), 9.17 (1 H, s). ¹³C NMR (100 MHz, CDCl₃, Me₄Si, δ/ppm): 161.7, 136.2, 122.2, 50.1, 31.7, 30.0, 29.0, 28.9, 26.2, 22.6, 14.0. IR (Diamond-ATR, neat, cm⁻¹): 3137, 3109, 3080, 2952, 2922, 2871, 2853, </w:t>
      </w:r>
      <w:r w:rsidRPr="005E5A4A">
        <w:t xml:space="preserve">1731, 1679, 1563, 1465, 1421, 1377, 1352, 1320, 1198, 1158, 918, 885, 838, 789, 696, 660, 597, 578, 476. </w:t>
      </w:r>
    </w:p>
    <w:p w14:paraId="2B7AC12B" w14:textId="39DFD54B" w:rsidR="00E36083" w:rsidRPr="004F0929" w:rsidRDefault="00235D91" w:rsidP="00E36083">
      <w:pPr>
        <w:pStyle w:val="RSCB07BHeadingSub-Section-standalone"/>
      </w:pPr>
      <w:r>
        <w:t>1,3-Di(d</w:t>
      </w:r>
      <w:r w:rsidR="007D782F">
        <w:t>ecyl)</w:t>
      </w:r>
      <w:r w:rsidR="00E36083">
        <w:t>imidazolium acetate</w:t>
      </w:r>
      <w:bookmarkEnd w:id="7"/>
      <w:r w:rsidR="007D782F">
        <w:t xml:space="preserve"> (</w:t>
      </w:r>
      <w:r w:rsidR="007D782F" w:rsidRPr="007D782F">
        <w:t>[C₁₀C₁₀IM][Ac]</w:t>
      </w:r>
      <w:r w:rsidR="007D782F">
        <w:t>)</w:t>
      </w:r>
    </w:p>
    <w:p w14:paraId="1F516444" w14:textId="3DC0DF5C" w:rsidR="00E36083" w:rsidRDefault="005E5A4A" w:rsidP="000B50FA">
      <w:pPr>
        <w:pStyle w:val="RSCB02ArticleText"/>
      </w:pPr>
      <w:r w:rsidRPr="00F67FBB">
        <w:t>The synthesis was carried out following the general procedure</w:t>
      </w:r>
      <w:r w:rsidR="00FF1948">
        <w:t xml:space="preserve"> (ESI. Synthetical</w:t>
      </w:r>
      <w:r w:rsidR="00FF1948" w:rsidRPr="00D865C7">
        <w:t xml:space="preserve"> procedure </w:t>
      </w:r>
      <w:r w:rsidR="00FF1948">
        <w:t>1)</w:t>
      </w:r>
      <w:r w:rsidRPr="00F67FBB">
        <w:t xml:space="preserve"> with 1-decylamine (98%, 31.32 g, 39.80 mL, 0.2 mol), formaldehyde (36.5-38%, 8.34</w:t>
      </w:r>
      <w:r w:rsidR="00537EB8">
        <w:t xml:space="preserve"> </w:t>
      </w:r>
      <w:r w:rsidRPr="00F67FBB">
        <w:t>g, 7.65</w:t>
      </w:r>
      <w:r w:rsidR="00537EB8">
        <w:t xml:space="preserve"> </w:t>
      </w:r>
      <w:r w:rsidRPr="00F67FBB">
        <w:t>mL, 0.1</w:t>
      </w:r>
      <w:r w:rsidR="00537EB8">
        <w:t xml:space="preserve"> </w:t>
      </w:r>
      <w:r w:rsidRPr="00F67FBB">
        <w:t>mol), acetic acid (99.9%, 9.01</w:t>
      </w:r>
      <w:r w:rsidR="00537EB8">
        <w:t xml:space="preserve"> </w:t>
      </w:r>
      <w:r w:rsidRPr="00F67FBB">
        <w:t>g, 8.59</w:t>
      </w:r>
      <w:r w:rsidR="00537EB8">
        <w:t xml:space="preserve"> </w:t>
      </w:r>
      <w:r w:rsidRPr="00F67FBB">
        <w:t>mL, 0.15</w:t>
      </w:r>
      <w:r w:rsidR="00537EB8">
        <w:t xml:space="preserve"> </w:t>
      </w:r>
      <w:r w:rsidRPr="00F67FBB">
        <w:t>mol), glyoxal (40%, 14.51</w:t>
      </w:r>
      <w:r w:rsidR="00537EB8">
        <w:t xml:space="preserve"> </w:t>
      </w:r>
      <w:r w:rsidRPr="00F67FBB">
        <w:t>g, 11.15</w:t>
      </w:r>
      <w:r w:rsidR="00537EB8">
        <w:t xml:space="preserve"> </w:t>
      </w:r>
      <w:r w:rsidRPr="00F67FBB">
        <w:t>mL, 0.1</w:t>
      </w:r>
      <w:r w:rsidR="00537EB8">
        <w:t xml:space="preserve"> </w:t>
      </w:r>
      <w:r w:rsidRPr="00F67FBB">
        <w:t>mol). Isolated yield 40.32</w:t>
      </w:r>
      <w:r w:rsidR="00537EB8">
        <w:t xml:space="preserve"> </w:t>
      </w:r>
      <w:r w:rsidR="007426E7">
        <w:t>g, 94</w:t>
      </w:r>
      <w:r w:rsidRPr="00F67FBB">
        <w:t>% (≈0.5 eq</w:t>
      </w:r>
      <w:r w:rsidRPr="00AD187E">
        <w:t xml:space="preserve"> of residual acetic acid). Yellow to orange oil. </w:t>
      </w:r>
      <w:r w:rsidRPr="006A0C7D">
        <w:t xml:space="preserve">Melting point: </w:t>
      </w:r>
      <w:r w:rsidR="00E72545">
        <w:t>49 °C</w:t>
      </w:r>
      <w:r w:rsidRPr="006A0C7D">
        <w:t xml:space="preserve">. </w:t>
      </w:r>
      <w:r w:rsidR="00533C16" w:rsidRPr="005E5A4A">
        <w:t>Decomposition temperature: 22</w:t>
      </w:r>
      <w:r w:rsidR="00533C16">
        <w:t>5</w:t>
      </w:r>
      <w:r w:rsidRPr="005E5A4A">
        <w:t xml:space="preserve"> °C. ¹H NMR (400 MHz, CDCl₃, Me₄Si, δ/ppm): 0.88 (6 H, t, J 6.81), 1.28 (32 H, d, J 30.33), 1.87 (4 H, dd, J 9.85, 4.86), 2.02 (3 H, s), 4.35 (4 H, t, J 7.40), 7.08 (2 H, d, J 1.48), 11.94 (1 H, d, J 1.61). ¹³C NMR (100 MHz, CDCl₃, Me₄Si, δ/ppm): 176.8, 139.7, 121.1, 49.9, 31.8, 30.3, 29.5, 29.4, 29.3, 29.0, 26.2, 23.6, 22.7, 14.1. IR (Diamond-ATR, neat, cm⁻¹): 2923, 2854, 1563, 1466, 1378, 1255, 1166, 1045, 1000, 878, 722, 651, 611, 445, 3135, 3074, 2955, 2923, 2854, 1699, 1644, 1579, 1563, 1466, 1378, 1325, 1255, 1166, 1122, 1045, 1000, 958, 878, 754, 722, 651, 611, 522, 494, 477, 471, 445, 409, 402. </w:t>
      </w:r>
    </w:p>
    <w:p w14:paraId="285978C9" w14:textId="2E39E8EE" w:rsidR="00E36083" w:rsidRPr="007D782F" w:rsidRDefault="00235D91" w:rsidP="00E36083">
      <w:pPr>
        <w:pStyle w:val="RSCB07BHeadingSub-Section-standalone"/>
      </w:pPr>
      <w:bookmarkStart w:id="8" w:name="_Toc22490686"/>
      <w:r>
        <w:t>1,3-Di(d</w:t>
      </w:r>
      <w:r w:rsidR="007D782F" w:rsidRPr="007D782F">
        <w:t>ecyl)</w:t>
      </w:r>
      <w:r w:rsidR="00E36083" w:rsidRPr="007D782F">
        <w:t>imidazolium nitrate</w:t>
      </w:r>
      <w:bookmarkEnd w:id="8"/>
      <w:r w:rsidR="007D782F" w:rsidRPr="007D782F">
        <w:t xml:space="preserve"> ([C₁₀C₁₀IM][NO</w:t>
      </w:r>
      <w:r w:rsidR="007D782F" w:rsidRPr="007D782F">
        <w:rPr>
          <w:rFonts w:cstheme="minorHAnsi"/>
        </w:rPr>
        <w:t>₃</w:t>
      </w:r>
      <w:r w:rsidR="007D782F" w:rsidRPr="007D782F">
        <w:t>])</w:t>
      </w:r>
    </w:p>
    <w:p w14:paraId="0B7B827A" w14:textId="14C68055" w:rsidR="00E36083" w:rsidRPr="00AD3F04" w:rsidRDefault="005E5A4A" w:rsidP="000B50FA">
      <w:pPr>
        <w:pStyle w:val="RSCB02ArticleText"/>
      </w:pPr>
      <w:r w:rsidRPr="004F0929">
        <w:t>The synthesis was carried out follo</w:t>
      </w:r>
      <w:r w:rsidRPr="003F2F1D">
        <w:t>wing</w:t>
      </w:r>
      <w:r w:rsidRPr="007A6C3A">
        <w:t xml:space="preserve"> the general procedure</w:t>
      </w:r>
      <w:r w:rsidR="00D865C7">
        <w:t xml:space="preserve"> (ESI. Synthetical</w:t>
      </w:r>
      <w:r w:rsidR="00D865C7" w:rsidRPr="00D865C7">
        <w:t xml:space="preserve"> procedure </w:t>
      </w:r>
      <w:r w:rsidR="00D865C7">
        <w:t>5)</w:t>
      </w:r>
      <w:r w:rsidRPr="007A6C3A">
        <w:t xml:space="preserve"> </w:t>
      </w:r>
      <w:r w:rsidR="009B4C87">
        <w:t>with 1,3-di</w:t>
      </w:r>
      <w:r w:rsidR="00FA7126">
        <w:t>(d</w:t>
      </w:r>
      <w:r w:rsidRPr="007A6C3A">
        <w:t xml:space="preserve">ecyl)imidazolium acetate (0.8202 g, </w:t>
      </w:r>
      <w:r>
        <w:t>2.01</w:t>
      </w:r>
      <w:r w:rsidRPr="007A6C3A">
        <w:t xml:space="preserve"> mmol). Isolated yield 0.8359 g, </w:t>
      </w:r>
      <w:r>
        <w:t>101</w:t>
      </w:r>
      <w:r w:rsidR="003B2EC9">
        <w:t>%</w:t>
      </w:r>
      <w:r w:rsidRPr="007A6C3A">
        <w:t xml:space="preserve">. </w:t>
      </w:r>
      <w:r>
        <w:t>Amber</w:t>
      </w:r>
      <w:r w:rsidRPr="007A6C3A">
        <w:t xml:space="preserve"> </w:t>
      </w:r>
      <w:r>
        <w:t>solid</w:t>
      </w:r>
      <w:r w:rsidRPr="007A6C3A">
        <w:t xml:space="preserve">. </w:t>
      </w:r>
      <w:r w:rsidRPr="00F4016C">
        <w:t xml:space="preserve">Melting point: </w:t>
      </w:r>
      <w:r w:rsidR="00E72545">
        <w:t>2</w:t>
      </w:r>
      <w:r w:rsidR="00E72545" w:rsidRPr="00F4016C">
        <w:t>7</w:t>
      </w:r>
      <w:r w:rsidR="00E72545">
        <w:t xml:space="preserve"> °C</w:t>
      </w:r>
      <w:r w:rsidRPr="00F4016C">
        <w:t xml:space="preserve">. </w:t>
      </w:r>
      <w:r w:rsidR="00533C16" w:rsidRPr="005E5A4A">
        <w:t>Decomposition temperature: 29</w:t>
      </w:r>
      <w:r w:rsidR="00533C16">
        <w:t>6</w:t>
      </w:r>
      <w:r w:rsidRPr="005E5A4A">
        <w:t xml:space="preserve"> °C. ¹H NMR (400 MHz, CDCl₃, Me₄Si, δ/ppm): 0.87 (6 H, t, J 6.78), 1.28 (29 H, d, J 26.69), 1.89 (4 H, p, J 7.68, 7.47), 4.25 (4 H, t, J 7.39), 7.40 (2 H, d, J 1.68), 10.00 (1 H, d, J 1.72). ¹³C NMR (100 MHz, CDCl₃, Me₄Si, δ/ppm): 137.2, 122.4, 50.1, 31.9, 30.3, 29.5, 29.4, 29.3, 29.0, 26.3, 22.7, 14.1. IR (Diamond-ATR, neat, cm⁻¹): 3136, 3089, 3040, 2955, 2922, 2853, 1744, 1654, 1564, 1466, 1335, 1162, 1077, 1039, 873, 829, 754, 722, 658, 646, 562, 537, 515, 504, 499, 489, 482, 473, 467, 459, 451, 444, 428, 418, 405. </w:t>
      </w:r>
    </w:p>
    <w:p w14:paraId="5443D965" w14:textId="632969E3" w:rsidR="00511733" w:rsidRPr="004F0929" w:rsidRDefault="00235D91" w:rsidP="00511733">
      <w:pPr>
        <w:pStyle w:val="RSCB07BHeadingSub-Section-standalone"/>
      </w:pPr>
      <w:bookmarkStart w:id="9" w:name="_Toc22490687"/>
      <w:r>
        <w:t>1,3-Di(d</w:t>
      </w:r>
      <w:r w:rsidR="007D782F" w:rsidRPr="007D782F">
        <w:t>ecyl)</w:t>
      </w:r>
      <w:r w:rsidR="00511733">
        <w:t>imidazolium chloride</w:t>
      </w:r>
      <w:r w:rsidR="007D782F">
        <w:t xml:space="preserve"> (</w:t>
      </w:r>
      <w:r w:rsidR="007D782F" w:rsidRPr="007D782F">
        <w:t>[C₁₀C₁₀IM][</w:t>
      </w:r>
      <w:r w:rsidR="007D782F">
        <w:t>Cl</w:t>
      </w:r>
      <w:r w:rsidR="007D782F" w:rsidRPr="007D782F">
        <w:t>]</w:t>
      </w:r>
      <w:r w:rsidR="007D782F">
        <w:t>)</w:t>
      </w:r>
    </w:p>
    <w:p w14:paraId="7B73B97E" w14:textId="27053F2B" w:rsidR="005E5A4A" w:rsidRDefault="005E5A4A" w:rsidP="000B50FA">
      <w:pPr>
        <w:pStyle w:val="RSCB02ArticleText"/>
      </w:pPr>
      <w:r w:rsidRPr="005E5A4A">
        <w:rPr>
          <w:lang w:val="en-US"/>
        </w:rPr>
        <w:t xml:space="preserve">The </w:t>
      </w:r>
      <w:r w:rsidRPr="004F0929">
        <w:t>synthesis was carried out follo</w:t>
      </w:r>
      <w:r w:rsidRPr="003F2F1D">
        <w:t>wing the general pro</w:t>
      </w:r>
      <w:r>
        <w:t>cedure</w:t>
      </w:r>
      <w:r w:rsidR="00FF1948">
        <w:t xml:space="preserve"> (ESI. Synthetical</w:t>
      </w:r>
      <w:r w:rsidR="00FF1948" w:rsidRPr="00D865C7">
        <w:t xml:space="preserve"> procedure </w:t>
      </w:r>
      <w:r w:rsidR="00FF1948">
        <w:t>4)</w:t>
      </w:r>
      <w:r>
        <w:t xml:space="preserve"> </w:t>
      </w:r>
      <w:r w:rsidR="009B4C87">
        <w:t>with 1,3-di</w:t>
      </w:r>
      <w:r w:rsidR="00FA7126">
        <w:t>(d</w:t>
      </w:r>
      <w:r>
        <w:t>ecyl)imi</w:t>
      </w:r>
      <w:r w:rsidRPr="00224437">
        <w:t xml:space="preserve">dazolium acetate (0.8135 g, </w:t>
      </w:r>
      <w:r>
        <w:t>1.99</w:t>
      </w:r>
      <w:r w:rsidRPr="00224437">
        <w:t xml:space="preserve"> mmol). Isolated yield 0.7132 g, </w:t>
      </w:r>
      <w:r>
        <w:t>93</w:t>
      </w:r>
      <w:r w:rsidR="003B2EC9">
        <w:t>%</w:t>
      </w:r>
      <w:r w:rsidRPr="00224437">
        <w:t xml:space="preserve">. </w:t>
      </w:r>
      <w:r>
        <w:t>Viscous red deliquescent solid</w:t>
      </w:r>
      <w:r w:rsidRPr="00224437">
        <w:t>.</w:t>
      </w:r>
      <w:r w:rsidRPr="00356658">
        <w:t xml:space="preserve"> Melting point: </w:t>
      </w:r>
      <w:r w:rsidR="00E72545">
        <w:t>57 °C</w:t>
      </w:r>
      <w:r w:rsidRPr="00356658">
        <w:t xml:space="preserve">. </w:t>
      </w:r>
      <w:r w:rsidRPr="00224437">
        <w:t xml:space="preserve"> </w:t>
      </w:r>
      <w:r w:rsidR="00533C16" w:rsidRPr="005E5A4A">
        <w:t>Decomposition temperature: 25</w:t>
      </w:r>
      <w:r w:rsidR="00533C16">
        <w:t>6</w:t>
      </w:r>
      <w:r w:rsidRPr="005E5A4A">
        <w:t xml:space="preserve"> °C. ¹H NMR (400 MHz, CDCl₃, Me₄Si, δ/ppm): 0.88 (6 H, t, J 6.72), 1.29 (32 H, d, J 34.20), 1.92 (4 H, p, J 7.21, 7.16), 4.36 (4 H, t, J 7.43), 7.30 (2 H, s), 10.90 (1 H, s). ¹³C NMR (100 MHz, CDCl₃, Me₄Si, δ/ppm): 137.8, 121.9, 50.1, 31.8, 30.4, 29.6, 29.5, 29.4, 29.3, 29.0, 26.3, 22.7, 14.1. IR (Diamond-ATR, neat, cm⁻¹): 2956, 2922, 2872, 2853, 1647, 1562, 1466, 1406, 1376, 1333, 1307, 1165, 1123, 1078, 1021, 888, 775, 721, 658, 544, 472, 429. </w:t>
      </w:r>
    </w:p>
    <w:p w14:paraId="3313052F" w14:textId="33C1686B" w:rsidR="00511733" w:rsidRPr="004F0929" w:rsidRDefault="00235D91" w:rsidP="00D37AEC">
      <w:pPr>
        <w:pStyle w:val="RSCB07BHeadingSub-Section-standalone"/>
      </w:pPr>
      <w:r>
        <w:t>1,3-Di(d</w:t>
      </w:r>
      <w:r w:rsidR="007D782F" w:rsidRPr="007D782F">
        <w:t>ecyl)</w:t>
      </w:r>
      <w:r w:rsidR="007D782F">
        <w:t xml:space="preserve">imidazolium </w:t>
      </w:r>
      <w:r w:rsidR="001652C6">
        <w:t>hydr</w:t>
      </w:r>
      <w:r w:rsidR="007D782F">
        <w:t>oxalate (</w:t>
      </w:r>
      <w:r w:rsidR="007D782F" w:rsidRPr="007D782F">
        <w:t>[C₁₀C₁₀IM][</w:t>
      </w:r>
      <w:r w:rsidR="007D782F">
        <w:t>Ox</w:t>
      </w:r>
      <w:r w:rsidR="007D782F" w:rsidRPr="007D782F">
        <w:t>]</w:t>
      </w:r>
      <w:r w:rsidR="007D782F">
        <w:t>)</w:t>
      </w:r>
    </w:p>
    <w:p w14:paraId="549D032F" w14:textId="026ABDFE" w:rsidR="00511733" w:rsidRDefault="005E5A4A" w:rsidP="000B50FA">
      <w:pPr>
        <w:pStyle w:val="RSCB02ArticleText"/>
      </w:pPr>
      <w:r w:rsidRPr="0001392C">
        <w:t>The synthesis was carried out following the general procedure</w:t>
      </w:r>
      <w:r w:rsidR="00D865C7">
        <w:t xml:space="preserve"> (ESI. Synthetical</w:t>
      </w:r>
      <w:r w:rsidR="00D865C7" w:rsidRPr="00D865C7">
        <w:t xml:space="preserve"> procedure </w:t>
      </w:r>
      <w:r w:rsidR="00D865C7">
        <w:t>6)</w:t>
      </w:r>
      <w:r w:rsidRPr="0001392C">
        <w:t xml:space="preserve"> with 1-decylamine (98%, 31.32 g, 39.80 mL, 0.2 mol), formaldehyde (36.5-38%, 8.34</w:t>
      </w:r>
      <w:r w:rsidR="00537EB8">
        <w:t xml:space="preserve"> </w:t>
      </w:r>
      <w:r w:rsidRPr="0001392C">
        <w:t>g, 7.65</w:t>
      </w:r>
      <w:r w:rsidR="00537EB8">
        <w:t xml:space="preserve"> </w:t>
      </w:r>
      <w:r w:rsidRPr="0001392C">
        <w:t>mL, 0.1</w:t>
      </w:r>
      <w:r w:rsidR="00537EB8">
        <w:t xml:space="preserve"> </w:t>
      </w:r>
      <w:r w:rsidRPr="0001392C">
        <w:t>mol), acetic acid (99.9%, 9.01</w:t>
      </w:r>
      <w:r w:rsidR="00537EB8">
        <w:t xml:space="preserve"> </w:t>
      </w:r>
      <w:r w:rsidRPr="0001392C">
        <w:t>g, 8.59</w:t>
      </w:r>
      <w:r w:rsidR="00537EB8">
        <w:t xml:space="preserve"> </w:t>
      </w:r>
      <w:r w:rsidRPr="0001392C">
        <w:t>mL, 0.15</w:t>
      </w:r>
      <w:r w:rsidR="00537EB8">
        <w:t xml:space="preserve"> </w:t>
      </w:r>
      <w:r w:rsidRPr="0001392C">
        <w:t>mol), glyoxal (40%, 14.51</w:t>
      </w:r>
      <w:r w:rsidR="00537EB8">
        <w:t xml:space="preserve"> </w:t>
      </w:r>
      <w:r w:rsidRPr="0001392C">
        <w:t>g, 11.15</w:t>
      </w:r>
      <w:r w:rsidR="00537EB8">
        <w:t xml:space="preserve"> </w:t>
      </w:r>
      <w:r w:rsidRPr="0001392C">
        <w:t>mL, 0.1</w:t>
      </w:r>
      <w:r w:rsidR="00537EB8">
        <w:t xml:space="preserve"> </w:t>
      </w:r>
      <w:r w:rsidRPr="0001392C">
        <w:t xml:space="preserve">mol). Isolated </w:t>
      </w:r>
      <w:r w:rsidRPr="0001392C">
        <w:lastRenderedPageBreak/>
        <w:t>yield 40.32</w:t>
      </w:r>
      <w:r w:rsidR="00537EB8">
        <w:t xml:space="preserve"> </w:t>
      </w:r>
      <w:r w:rsidRPr="0001392C">
        <w:t>g, 9</w:t>
      </w:r>
      <w:r w:rsidR="007426E7">
        <w:t>4</w:t>
      </w:r>
      <w:r w:rsidRPr="0001392C">
        <w:t xml:space="preserve">% (≈0.5 eq of </w:t>
      </w:r>
      <w:r w:rsidRPr="00F63E9F">
        <w:t xml:space="preserve">residual acetic acid). Dark </w:t>
      </w:r>
      <w:r>
        <w:t>red</w:t>
      </w:r>
      <w:r w:rsidRPr="00F63E9F">
        <w:t xml:space="preserve"> </w:t>
      </w:r>
      <w:r>
        <w:t>solid</w:t>
      </w:r>
      <w:r w:rsidRPr="00F63E9F">
        <w:t>.</w:t>
      </w:r>
      <w:r w:rsidRPr="00895921">
        <w:t xml:space="preserve"> Melting point: </w:t>
      </w:r>
      <w:r w:rsidR="00E72545">
        <w:t>70 °C</w:t>
      </w:r>
      <w:r w:rsidRPr="00895921">
        <w:t>.</w:t>
      </w:r>
      <w:r w:rsidRPr="00F63E9F">
        <w:t xml:space="preserve"> </w:t>
      </w:r>
      <w:r w:rsidRPr="005E5A4A">
        <w:t>D</w:t>
      </w:r>
      <w:r w:rsidR="00533C16">
        <w:t>ecomposition temperature: 250</w:t>
      </w:r>
      <w:r w:rsidRPr="005E5A4A">
        <w:t xml:space="preserve"> °C. ¹H NMR (400 MHz, CDCl₃, Me₄Si, δ/ppm): 0.87 (6 H, t, J 6.81), 1.28 (32 H, d, J 26.20), 1.86 (4 H, t, J 7.19), 4.34 (4 H, t, J 7.35), 7.14 (2 H, s), 11.12 (1 H, s). ¹³C NMR (100 MHz, CDCl₃, Me₄Si, δ/ppm): 164.3, 138.3, 122.0, 49.9, 31.8, 30.3, 29.5, 29.4, 29.3, 29.0, 26.2, 22.7, 14.1. IR (Diamond-ATR, neat, cm⁻¹): 3376, 3130, 3067, 2956, 2922, 2872, 2853, 1563, 1529, 1466, 1406, 1376, 1334, 1295, 1215, 1165, 1125, 1042, 721, 659, 533, 502, 434. </w:t>
      </w:r>
    </w:p>
    <w:p w14:paraId="5EA4CD70" w14:textId="1C27464A" w:rsidR="00E36083" w:rsidRPr="007D782F" w:rsidRDefault="00235D91" w:rsidP="00E36083">
      <w:pPr>
        <w:pStyle w:val="RSCB07BHeadingSub-Section-standalone"/>
        <w:rPr>
          <w:lang w:val="en-US"/>
        </w:rPr>
      </w:pPr>
      <w:r>
        <w:t>1,3-Di(d</w:t>
      </w:r>
      <w:r w:rsidR="007D782F">
        <w:t>odecyl)</w:t>
      </w:r>
      <w:r w:rsidR="00E36083">
        <w:t>imidazolium acetate</w:t>
      </w:r>
      <w:bookmarkEnd w:id="9"/>
      <w:r w:rsidR="007D782F">
        <w:t xml:space="preserve"> (</w:t>
      </w:r>
      <w:r w:rsidR="007D782F" w:rsidRPr="007D782F">
        <w:t>[C₁₂C₁₂IM][Ac]</w:t>
      </w:r>
      <w:r w:rsidR="007D782F">
        <w:t>)</w:t>
      </w:r>
    </w:p>
    <w:p w14:paraId="736A2A49" w14:textId="6C49925F" w:rsidR="00E36083" w:rsidRPr="00B55209" w:rsidRDefault="005E5A4A" w:rsidP="000B50FA">
      <w:pPr>
        <w:pStyle w:val="RSCB02ArticleText"/>
      </w:pPr>
      <w:r w:rsidRPr="000D5D74">
        <w:t>The synthesis was carried out following the general procedure</w:t>
      </w:r>
      <w:r w:rsidR="00FF1948">
        <w:t xml:space="preserve"> (ESI. Synthetical</w:t>
      </w:r>
      <w:r w:rsidR="00FF1948" w:rsidRPr="00D865C7">
        <w:t xml:space="preserve"> procedure </w:t>
      </w:r>
      <w:r w:rsidR="00FF1948">
        <w:t>1)</w:t>
      </w:r>
      <w:r w:rsidRPr="000D5D74">
        <w:t xml:space="preserve"> with </w:t>
      </w:r>
      <w:r w:rsidR="00FA7126">
        <w:t>1-d</w:t>
      </w:r>
      <w:r w:rsidRPr="000D5D74">
        <w:t>odecylamine (98%, 37.571 g, 47.75 mL, 0.2 mol), formaldehyde (36.5-38.0 wt% in water-methanol, 8.34 g, 7.65 mL, 0.1 mol), acetic acid (99.9%, 9.01 g, 8.59 mL, 0.15 mol)</w:t>
      </w:r>
      <w:r w:rsidR="007426E7">
        <w:t>, glyoxal (40</w:t>
      </w:r>
      <w:r w:rsidRPr="000D5D74">
        <w:t>%, 14.51 g, 11.15 mL, 0.1 mol). Isolated yield 44.292 g, 85</w:t>
      </w:r>
      <w:r w:rsidR="003B2EC9">
        <w:t>%</w:t>
      </w:r>
      <w:r w:rsidRPr="000D5D74">
        <w:t xml:space="preserve"> (≈0.5 eq of residual acetic acid). </w:t>
      </w:r>
      <w:r>
        <w:t>Orange to beige</w:t>
      </w:r>
      <w:r w:rsidRPr="000D5D74">
        <w:t xml:space="preserve"> solid.</w:t>
      </w:r>
      <w:r w:rsidRPr="006A53A3">
        <w:t xml:space="preserve"> Melting point: </w:t>
      </w:r>
      <w:r w:rsidR="00113009">
        <w:t>3</w:t>
      </w:r>
      <w:r w:rsidR="00E72545">
        <w:t>1 °C</w:t>
      </w:r>
      <w:r w:rsidRPr="006A53A3">
        <w:t xml:space="preserve">. </w:t>
      </w:r>
      <w:r w:rsidRPr="000D5D74">
        <w:t xml:space="preserve"> </w:t>
      </w:r>
      <w:r w:rsidR="00533C16" w:rsidRPr="005E5A4A">
        <w:t>Decomposition temperature: 22</w:t>
      </w:r>
      <w:r w:rsidR="00533C16">
        <w:t>7</w:t>
      </w:r>
      <w:r w:rsidRPr="005E5A4A">
        <w:t xml:space="preserve"> °C. ¹H NMR (400 MHz, CDCl₃, Me₄Si, δ/ppm): 0.88 (6 H, t, J 6.81), 1.18 - 1.39 (40 H, m), 1.87 (4 H, p, J 7.59, 7.57), 4.34 (4 H, t, J 7.40), 7.10 (2 H, d, J 1.30), 2.02 (3 H, s), 11.78 (1 H, s). ¹³C NMR (100 MHz, CDCl₃, Me₄Si, δ/ppm): 176.7, 139.6, 121.0, 50.0, 31.9, 30.2, 29.6, 29.5, 29.4, 29.3, 29.0, 26.3, 23.4, 22.7, 14.1. IR (Diamond-ATR, neat, cm⁻¹): 3159, 3106, 2952, 2914, 2870, 2849, 1708, 1572, 1560, 1470, 1459, 1449, 1374, 1313, 1301, 1291, 1230, 1171, 1128, 1113, 1038, 1007, 942, 839, 762, 741, 730, 718, 661, 632, 607, 505, 438, 429, 416, 410. </w:t>
      </w:r>
    </w:p>
    <w:p w14:paraId="2A673DD8" w14:textId="482B0EF3" w:rsidR="00024484" w:rsidRPr="004F0929" w:rsidRDefault="00235D91" w:rsidP="00024484">
      <w:pPr>
        <w:pStyle w:val="RSCB07BHeadingSub-Section-standalone"/>
      </w:pPr>
      <w:bookmarkStart w:id="10" w:name="_Toc22490688"/>
      <w:r>
        <w:t>1,3-Di(d</w:t>
      </w:r>
      <w:r w:rsidR="007D782F">
        <w:t>odecyl)</w:t>
      </w:r>
      <w:r w:rsidR="00024484">
        <w:t>imidazolium chloride</w:t>
      </w:r>
      <w:bookmarkEnd w:id="10"/>
      <w:r w:rsidR="007D782F">
        <w:t xml:space="preserve"> (</w:t>
      </w:r>
      <w:r w:rsidR="007D782F" w:rsidRPr="007D782F">
        <w:t>[C₁₂C₁₂IM][</w:t>
      </w:r>
      <w:r w:rsidR="007D782F">
        <w:t>Cl</w:t>
      </w:r>
      <w:r w:rsidR="007D782F" w:rsidRPr="007D782F">
        <w:t>]</w:t>
      </w:r>
      <w:r w:rsidR="007D782F">
        <w:t>)</w:t>
      </w:r>
    </w:p>
    <w:p w14:paraId="4EE91663" w14:textId="7CFE7CFA" w:rsidR="005E5A4A" w:rsidRPr="00F86D03" w:rsidRDefault="005E5A4A" w:rsidP="000B50FA">
      <w:pPr>
        <w:pStyle w:val="RSCB02ArticleText"/>
      </w:pPr>
      <w:r w:rsidRPr="00F86D03">
        <w:t>The synthesis was carried out following the general procedure</w:t>
      </w:r>
      <w:r w:rsidR="00FF1948">
        <w:t xml:space="preserve"> (ESI. Synthetical</w:t>
      </w:r>
      <w:r w:rsidR="00FF1948" w:rsidRPr="00D865C7">
        <w:t xml:space="preserve"> procedure </w:t>
      </w:r>
      <w:r w:rsidR="00FF1948">
        <w:t>4)</w:t>
      </w:r>
      <w:r w:rsidRPr="00F86D03">
        <w:t xml:space="preserve"> </w:t>
      </w:r>
      <w:r w:rsidR="009B4C87">
        <w:t>with 1,3-di</w:t>
      </w:r>
      <w:r w:rsidR="00FA7126">
        <w:t>(d</w:t>
      </w:r>
      <w:r w:rsidRPr="00F86D03">
        <w:t>odecyl)imidazolium acetate (0.8015 g, 1.0 mL, 1.73 mmol). Isolated yield 0.7194 g, 9</w:t>
      </w:r>
      <w:r w:rsidR="007426E7">
        <w:t>5</w:t>
      </w:r>
      <w:r w:rsidR="003B2EC9">
        <w:t>%</w:t>
      </w:r>
      <w:r w:rsidRPr="00F86D03">
        <w:t xml:space="preserve">. Dark </w:t>
      </w:r>
      <w:r>
        <w:t>red</w:t>
      </w:r>
      <w:r w:rsidRPr="00F86D03">
        <w:t xml:space="preserve"> solid. </w:t>
      </w:r>
      <w:r w:rsidRPr="00F75806">
        <w:t xml:space="preserve">Melting point: </w:t>
      </w:r>
      <w:r w:rsidR="00E72545">
        <w:t>42 °C</w:t>
      </w:r>
      <w:r w:rsidRPr="00F75806">
        <w:t xml:space="preserve">. </w:t>
      </w:r>
      <w:r w:rsidR="00533C16" w:rsidRPr="005E5A4A">
        <w:t>Decomposition temperature: 26</w:t>
      </w:r>
      <w:r w:rsidR="00533C16">
        <w:t>5</w:t>
      </w:r>
      <w:r w:rsidRPr="005E5A4A">
        <w:t xml:space="preserve"> °C. ¹H NMR (400 MHz, CDCl₃, Me₄Si, δ/ppm): 0.88 (6 H, t, J 6.78), 1.20 - 1.37 (36 H, m), 1.91 (4 H, q, J 7.39, 7.37), 4.36 (4 H, t, J 7.46), 7.17 (2 H, d, J 1.46), 11.18 (1 H, d, J 1.98). ¹³C NMR (100 MHz, CDCl₃, Me₄Si, δ/ppm): 137.4, 122.3, 50.0, 31.9, 30.4, 29.6, 29.5, 29.4, 29.3, 29.1, 26.3, 22.7, 14.1. IR (Diamond-ATR, neat, cm⁻¹): 3390, 3132, 3062, 2953, 2918, 2850, 1643, 1562, 1464, 1404, 1376, 1364, 1305, 1287, 1272, 1246, 1164, 1126, 1108, 1087, 960, 854, 807, 778, 748, 721, 661, 638, 602, 415. </w:t>
      </w:r>
    </w:p>
    <w:p w14:paraId="75614FE2" w14:textId="65E22C93" w:rsidR="00024484" w:rsidRPr="007D782F" w:rsidRDefault="00235D91" w:rsidP="00024484">
      <w:pPr>
        <w:pStyle w:val="RSCB07BHeadingSub-Section-standalone"/>
      </w:pPr>
      <w:r>
        <w:t>1,3-Di(d</w:t>
      </w:r>
      <w:r w:rsidR="007D782F" w:rsidRPr="007D782F">
        <w:t>odecyl)</w:t>
      </w:r>
      <w:r w:rsidR="00024484" w:rsidRPr="007D782F">
        <w:t>imidazolium nitrate</w:t>
      </w:r>
      <w:r w:rsidR="007D782F" w:rsidRPr="007D782F">
        <w:t xml:space="preserve"> ([C₁₂C₁₂IM][NO</w:t>
      </w:r>
      <w:r w:rsidR="007D782F" w:rsidRPr="007D782F">
        <w:rPr>
          <w:rFonts w:cstheme="minorHAnsi"/>
        </w:rPr>
        <w:t>₃</w:t>
      </w:r>
      <w:r w:rsidR="007D782F" w:rsidRPr="007D782F">
        <w:t>])</w:t>
      </w:r>
    </w:p>
    <w:p w14:paraId="6F381D23" w14:textId="322B1176" w:rsidR="005E5A4A" w:rsidRPr="00501BC5" w:rsidRDefault="005E5A4A" w:rsidP="000B50FA">
      <w:pPr>
        <w:pStyle w:val="RSCB02ArticleText"/>
      </w:pPr>
      <w:r w:rsidRPr="00501BC5">
        <w:t>The synthesis was carried out following the general procedure</w:t>
      </w:r>
      <w:r w:rsidR="00D865C7">
        <w:t xml:space="preserve"> (ESI. Synthetical</w:t>
      </w:r>
      <w:r w:rsidR="00D865C7" w:rsidRPr="00D865C7">
        <w:t xml:space="preserve"> procedure </w:t>
      </w:r>
      <w:r w:rsidR="00D865C7">
        <w:t>5)</w:t>
      </w:r>
      <w:r w:rsidRPr="00501BC5">
        <w:t xml:space="preserve"> </w:t>
      </w:r>
      <w:r w:rsidR="009B4C87">
        <w:t>with 1,3-di</w:t>
      </w:r>
      <w:r w:rsidR="00FA7126">
        <w:t>(d</w:t>
      </w:r>
      <w:r w:rsidRPr="00501BC5">
        <w:t>odecyl)imidazolium acetate (0.8018 g, 1.0 mL, 1.73 mmol). Isolated yield 0.7819 g, 9</w:t>
      </w:r>
      <w:r w:rsidR="003B2EC9">
        <w:t>7</w:t>
      </w:r>
      <w:r w:rsidRPr="00501BC5">
        <w:t xml:space="preserve">%. Dark </w:t>
      </w:r>
      <w:r>
        <w:t>red</w:t>
      </w:r>
      <w:r w:rsidRPr="00501BC5">
        <w:t xml:space="preserve"> solid.</w:t>
      </w:r>
      <w:r w:rsidRPr="0080214E">
        <w:t xml:space="preserve"> Melting point: </w:t>
      </w:r>
      <w:r w:rsidR="00E72545" w:rsidRPr="0080214E">
        <w:t>9</w:t>
      </w:r>
      <w:r w:rsidR="00113009">
        <w:t>8</w:t>
      </w:r>
      <w:r w:rsidR="00E72545">
        <w:t xml:space="preserve"> °C</w:t>
      </w:r>
      <w:r w:rsidRPr="0080214E">
        <w:t xml:space="preserve">. </w:t>
      </w:r>
      <w:r w:rsidRPr="00920ED2">
        <w:t xml:space="preserve"> </w:t>
      </w:r>
      <w:r w:rsidR="00533C16" w:rsidRPr="005E5A4A">
        <w:t>Decomposition temperature: 288</w:t>
      </w:r>
      <w:r w:rsidRPr="005E5A4A">
        <w:t xml:space="preserve"> °C. ¹H NMR (400 MHz, CDCl₃, Me₄Si, δ/ppm): 7.24 (2 H, d, J 1.60), 0.88 (7 H, t, J 6.80), 1.18 - 1.36 (46 H, m), 1.89 (4 H, p, J 8.09, 7.85), 4.25 (4 H, t, J 7.41), 10.15 (1 H, d, J 1.71). ¹³C NMR (100 MHz, CDCl₃, Me₄Si, δ/ppm): 138.4, 121.5, 50.3, 31.9, 30.2, 29.6, 29.5, 29.4, 29.3, 29.0, 26.3, 22.7, 14.1. IR (Diamond-ATR, neat, cm⁻¹): 3419, 3136, 3094, 2954, 2918, 2850, 2019, 2009, 1967, 1949, 1634, 1563, 1466, 1340, 1221, 1159, 1125, 1087, 1040, 993, 947, 856, 828, </w:t>
      </w:r>
      <w:r w:rsidRPr="005E5A4A">
        <w:t xml:space="preserve">775, 720, 658, 603, 571, 518, 491, 485, 477, 469, 455, 446, 430, 426, 419, 411, 404. </w:t>
      </w:r>
    </w:p>
    <w:p w14:paraId="6A4EEAA8" w14:textId="7CE55622" w:rsidR="00024484" w:rsidRPr="004F0929" w:rsidRDefault="00235D91" w:rsidP="00024484">
      <w:pPr>
        <w:pStyle w:val="RSCB07BHeadingSub-Section-standalone"/>
      </w:pPr>
      <w:r>
        <w:t>1,3-Di(d</w:t>
      </w:r>
      <w:r w:rsidR="007D782F">
        <w:t>odecyl)</w:t>
      </w:r>
      <w:r w:rsidR="00024484">
        <w:t xml:space="preserve">imidazolium </w:t>
      </w:r>
      <w:r w:rsidR="001652C6">
        <w:t>hydr</w:t>
      </w:r>
      <w:r w:rsidR="00024484">
        <w:t>oxalate</w:t>
      </w:r>
      <w:r w:rsidR="007D782F">
        <w:t xml:space="preserve"> (</w:t>
      </w:r>
      <w:r w:rsidR="007D782F" w:rsidRPr="007D782F">
        <w:t>[C₁₂C₁₂IM][</w:t>
      </w:r>
      <w:r w:rsidR="007D782F">
        <w:t>Ox</w:t>
      </w:r>
      <w:r w:rsidR="007D782F" w:rsidRPr="007D782F">
        <w:t>]</w:t>
      </w:r>
      <w:r w:rsidR="007D782F">
        <w:t>)</w:t>
      </w:r>
    </w:p>
    <w:p w14:paraId="3DFC990A" w14:textId="3303389D" w:rsidR="00E36083" w:rsidRPr="00B55209" w:rsidRDefault="005E5A4A" w:rsidP="000B50FA">
      <w:pPr>
        <w:pStyle w:val="RSCB02ArticleText"/>
      </w:pPr>
      <w:r w:rsidRPr="00DC3D4D">
        <w:t>The synthesis was carried out following the general procedure</w:t>
      </w:r>
      <w:r w:rsidR="00D865C7">
        <w:t xml:space="preserve"> (ESI. Synthetical</w:t>
      </w:r>
      <w:r w:rsidR="00D865C7" w:rsidRPr="00D865C7">
        <w:t xml:space="preserve"> procedure </w:t>
      </w:r>
      <w:r w:rsidR="00D865C7">
        <w:t>6)</w:t>
      </w:r>
      <w:r w:rsidRPr="00DC3D4D">
        <w:t xml:space="preserve"> </w:t>
      </w:r>
      <w:r w:rsidR="009B4C87">
        <w:t>with 1,3-di</w:t>
      </w:r>
      <w:r w:rsidR="00FA7126">
        <w:t>(d</w:t>
      </w:r>
      <w:r w:rsidRPr="00DC3D4D">
        <w:t>odec</w:t>
      </w:r>
      <w:r w:rsidRPr="00272E82">
        <w:t>yl)imidazolium acetate (0.8008 g, 1.0 mL, 1.73 mmol). Isolated yield 0.3752 g, 44</w:t>
      </w:r>
      <w:r w:rsidR="003B2EC9">
        <w:t>%</w:t>
      </w:r>
      <w:r w:rsidRPr="00272E82">
        <w:t xml:space="preserve">. </w:t>
      </w:r>
      <w:r>
        <w:t>Pale yellow</w:t>
      </w:r>
      <w:r w:rsidRPr="00272E82">
        <w:t xml:space="preserve"> solid. </w:t>
      </w:r>
      <w:r w:rsidRPr="002A1BE1">
        <w:t xml:space="preserve">Melting point: </w:t>
      </w:r>
      <w:r w:rsidR="00E72545">
        <w:t>125 °C</w:t>
      </w:r>
      <w:r w:rsidRPr="002A1BE1">
        <w:t xml:space="preserve">. </w:t>
      </w:r>
      <w:r w:rsidR="00533C16" w:rsidRPr="005E5A4A">
        <w:t>Decomposition temperature: 229</w:t>
      </w:r>
      <w:r w:rsidRPr="005E5A4A">
        <w:t xml:space="preserve"> °C. ¹H NMR (400 MHz, CDCl₃, Me₄Si, δ/ppm): 0.88 (6 H, t, J 6.81), 1.28 (39 H, d, J 25.55), 1.86 (4 H, p, J 7.64, 7.21), 4.30 (4 H, t, J 7.35), 7.16 (2 H, d, J 1.12), 10.66 (1 H, s). ¹³C NMR (100 MHz, CDCl₃, Me₄Si, δ/ppm): 163.4, 138.7, 121.5, 50.1, 31.9, 30.3, 29.6, 29.5, 29.4, 29.3, 29.0, 26.2, 22.7, 14.1. IR (Diamond-ATR, neat, cm⁻¹): 3139, 3100, 3083, 2954, 2917, 2871, 2850, 1594, 1563, 1462, 1405, 1370, 1328, 1286, 1256, 1218, 1159, 1086, 963, 925, 841, 813, 789, 711, 656, 637, 601, 543, 458. </w:t>
      </w:r>
    </w:p>
    <w:p w14:paraId="201546FF" w14:textId="15D59E18" w:rsidR="00E36083" w:rsidRPr="009B0B82" w:rsidRDefault="00235D91" w:rsidP="00E36083">
      <w:pPr>
        <w:pStyle w:val="RSCB07BHeadingSub-Section-standalone"/>
      </w:pPr>
      <w:bookmarkStart w:id="11" w:name="_Toc22490689"/>
      <w:r w:rsidRPr="009B0B82">
        <w:t>1,3-Di(t</w:t>
      </w:r>
      <w:r w:rsidR="007D782F" w:rsidRPr="009B0B82">
        <w:t>etradecyl)</w:t>
      </w:r>
      <w:r w:rsidR="00E36083" w:rsidRPr="009B0B82">
        <w:t>imidazolium acetate</w:t>
      </w:r>
      <w:bookmarkEnd w:id="11"/>
      <w:r w:rsidR="007D782F" w:rsidRPr="009B0B82">
        <w:t xml:space="preserve"> ([C₁₄C₁₄IM][Ac])</w:t>
      </w:r>
    </w:p>
    <w:p w14:paraId="26D941B2" w14:textId="4ADAE64C" w:rsidR="00E36083" w:rsidRDefault="005E5A4A" w:rsidP="000B50FA">
      <w:pPr>
        <w:pStyle w:val="RSCB02ArticleText"/>
      </w:pPr>
      <w:r w:rsidRPr="00CB6792">
        <w:t>The synthesis was carried out following the general procedure</w:t>
      </w:r>
      <w:r w:rsidR="00FF1948">
        <w:t xml:space="preserve"> (ESI. Synthetical</w:t>
      </w:r>
      <w:r w:rsidR="00FF1948" w:rsidRPr="00D865C7">
        <w:t xml:space="preserve"> procedure </w:t>
      </w:r>
      <w:r w:rsidR="00FF1948">
        <w:t>2)</w:t>
      </w:r>
      <w:r w:rsidRPr="00CB6792">
        <w:t xml:space="preserve"> with </w:t>
      </w:r>
      <w:r w:rsidR="00FA7126">
        <w:t>1-t</w:t>
      </w:r>
      <w:r w:rsidRPr="00CB6792">
        <w:t xml:space="preserve">etradecylamine </w:t>
      </w:r>
      <w:r w:rsidR="007426E7">
        <w:t>(98.5</w:t>
      </w:r>
      <w:r w:rsidRPr="00CB6792">
        <w:t>%, 4.2688 g, 4.775 mL, 0.02 mol), formaldehyde (36.5-38</w:t>
      </w:r>
      <w:r w:rsidR="003B2EC9">
        <w:t>%</w:t>
      </w:r>
      <w:r w:rsidRPr="00CB6792">
        <w:t>, 0.834 g, 0.765 m</w:t>
      </w:r>
      <w:r w:rsidR="007426E7">
        <w:t>L, 0.01 mol), acetic acid (99.9</w:t>
      </w:r>
      <w:r w:rsidRPr="00CB6792">
        <w:t>%, 0.901 g, 0.</w:t>
      </w:r>
      <w:r w:rsidR="007426E7">
        <w:t>859 mL, 0.015 mol), glyoxal (40</w:t>
      </w:r>
      <w:r w:rsidRPr="00CB6792">
        <w:t xml:space="preserve">%, 1.451 g, 1.115 mL, 0.01 mol). Isolated yield 4.451 </w:t>
      </w:r>
      <w:r w:rsidR="003B2EC9">
        <w:t>g, 87</w:t>
      </w:r>
      <w:r w:rsidRPr="00CB6792">
        <w:t xml:space="preserve">% (≈0.5 eq of residual acetic acid). </w:t>
      </w:r>
      <w:r>
        <w:t>Yellow</w:t>
      </w:r>
      <w:r w:rsidRPr="00CB6792">
        <w:t xml:space="preserve"> solid. </w:t>
      </w:r>
      <w:r w:rsidRPr="00D20B76">
        <w:t xml:space="preserve">Melting point: </w:t>
      </w:r>
      <w:r w:rsidR="00E72545">
        <w:t>43 °C</w:t>
      </w:r>
      <w:r w:rsidRPr="00D20B76">
        <w:t xml:space="preserve">. </w:t>
      </w:r>
      <w:r w:rsidR="006E0340">
        <w:t>Decomposition temperature: 229</w:t>
      </w:r>
      <w:r w:rsidRPr="005E5A4A">
        <w:t xml:space="preserve"> °C. ¹H NMR (400 MHz, CDCl₃, Me₄Si, δ/ppm): 0.88 (6 H, t, J 6.74), 0.97 - 1.70 (48 H, m), 1.87 (4 H, p, J 7.50, 7.42), 2.01 (3 H, s), 4.33 (4 H, t, J 7.39), 7.11 (2 H, d, J 1.44), 11.35 - 11.58 (1 H, m). ¹³C NMR (100 MHz, CDCl₃, Me₄Si, δ/ppm): 176.2, 139.1, 121.1, 50.0, 31.9, 30.2, 29.7, 29.7, 29.6, 29.5, 29.4, 29.4, 29.0, 26.2, 22.8, 22.7, 14.1. IR (Diamond-ATR, neat, cm⁻¹): 3160, 3105, 2952, 2913, 2870, 2849, 1708, 1573, 1562, 1470, 1453, 1376, 1312, 1300, 1170, 1128, 1114, 1050, 1007, 943, 874, 771, 762, 742, 718, 660, 632, 607, 515, 505, 471, 459, 440, 417, 412, 403. </w:t>
      </w:r>
    </w:p>
    <w:p w14:paraId="7A9EE501" w14:textId="13689668" w:rsidR="007C78B8" w:rsidRPr="009B0B82" w:rsidRDefault="00235D91" w:rsidP="007C78B8">
      <w:pPr>
        <w:pStyle w:val="RSCB07BHeadingSub-Section-standalone"/>
      </w:pPr>
      <w:bookmarkStart w:id="12" w:name="_Toc22490690"/>
      <w:bookmarkStart w:id="13" w:name="_Toc22490691"/>
      <w:r w:rsidRPr="009B0B82">
        <w:t>1,3-Di(t</w:t>
      </w:r>
      <w:r w:rsidR="007D782F" w:rsidRPr="009B0B82">
        <w:t>etradecyl)</w:t>
      </w:r>
      <w:r w:rsidR="007C78B8" w:rsidRPr="009B0B82">
        <w:t>imidazolium nitrate</w:t>
      </w:r>
      <w:bookmarkEnd w:id="12"/>
      <w:r w:rsidR="007D782F" w:rsidRPr="009B0B82">
        <w:t xml:space="preserve"> ([C₁₄C₁₄IM][NO</w:t>
      </w:r>
      <w:r w:rsidR="00D865C7">
        <w:t>₃</w:t>
      </w:r>
      <w:r w:rsidR="007D782F" w:rsidRPr="009B0B82">
        <w:t>])</w:t>
      </w:r>
    </w:p>
    <w:p w14:paraId="7199960D" w14:textId="28975C7F" w:rsidR="007C78B8" w:rsidRDefault="005E5A4A" w:rsidP="000B50FA">
      <w:pPr>
        <w:pStyle w:val="RSCB02ArticleText"/>
      </w:pPr>
      <w:r w:rsidRPr="00654BC8">
        <w:t>The synthesis was carried out following the general procedure</w:t>
      </w:r>
      <w:r w:rsidR="00D865C7">
        <w:t xml:space="preserve"> (ESI. Synthetical</w:t>
      </w:r>
      <w:r w:rsidR="00D865C7" w:rsidRPr="00D865C7">
        <w:t xml:space="preserve"> procedure </w:t>
      </w:r>
      <w:r w:rsidR="00D865C7">
        <w:t>5)</w:t>
      </w:r>
      <w:r w:rsidRPr="00654BC8">
        <w:t xml:space="preserve"> </w:t>
      </w:r>
      <w:r w:rsidR="009B4C87">
        <w:t>with 1,3-di</w:t>
      </w:r>
      <w:r w:rsidR="00FA7126">
        <w:t>(t</w:t>
      </w:r>
      <w:r w:rsidRPr="00654BC8">
        <w:t>etradecyl)imidazolium acetate (0.3979 g, 1.0 mL, 0.77 mmol). Isolated yield 0.3938 g, 98</w:t>
      </w:r>
      <w:r w:rsidR="003B2EC9">
        <w:t>%</w:t>
      </w:r>
      <w:r w:rsidRPr="00654BC8">
        <w:t xml:space="preserve">. </w:t>
      </w:r>
      <w:r>
        <w:t>Yellow</w:t>
      </w:r>
      <w:r w:rsidRPr="00654BC8">
        <w:t xml:space="preserve"> solid.</w:t>
      </w:r>
      <w:r w:rsidRPr="00CB0A0C">
        <w:t xml:space="preserve"> </w:t>
      </w:r>
      <w:r w:rsidRPr="00AF54B0">
        <w:t xml:space="preserve">Melting point: </w:t>
      </w:r>
      <w:r w:rsidR="00113009">
        <w:t>11</w:t>
      </w:r>
      <w:r w:rsidR="00E72545">
        <w:t>1 °C</w:t>
      </w:r>
      <w:r w:rsidRPr="00AF54B0">
        <w:t xml:space="preserve">. </w:t>
      </w:r>
      <w:r w:rsidR="00533C16" w:rsidRPr="005E5A4A">
        <w:t>Decomposition temperature: 28</w:t>
      </w:r>
      <w:r w:rsidR="00533C16">
        <w:t>5</w:t>
      </w:r>
      <w:r w:rsidRPr="005E5A4A">
        <w:t xml:space="preserve"> °C. ¹H NMR (400 MHz, CDCl₃, Me₄Si, δ/ppm): 0.88 (6 H, t, J 6.77), 0.96 - 1.53 (48 H, m), 1.88 (4 H, q, J 7.13, 6.90), 4.25 (4 H, t, J 7.39), 7.33 (2 H, d, J 1.57), 10.11 (1 H, d, J 1.71). ¹³C NMR (100 MHz, CDCl₃, Me₄Si, δ/ppm): 138.1, 121.8, 50.2, 31.9, 30.3, 29.7, 29.7, 29.6, 29.5, 29.4, 29.4, 29.0, 26.3, 22.7, 14.1. IR (Diamond-ATR, neat, cm⁻¹): 3461, 3135, 3092, 3038, 2953, 2916, 2849, 1745, 1651, 1563, 1466, 1339, 1214, 1162, 1128, 1094, 1059, 1041, 1019, 972, 941, 889, 848, 828, 806, 777, 753, 720, 693, 686, 678, 659, 621, 605, 586, 579, 572, 564, 556, 549, 541, 530, 522, 515, 507, 500, 492, 484, 478, 470, 456, 444, 439, 428, 422, 416, 411, 404. </w:t>
      </w:r>
    </w:p>
    <w:p w14:paraId="065E52E0" w14:textId="52877A4D" w:rsidR="007C78B8" w:rsidRPr="007D782F" w:rsidRDefault="00235D91" w:rsidP="007C78B8">
      <w:pPr>
        <w:pStyle w:val="RSCB07BHeadingSub-Section-standalone"/>
      </w:pPr>
      <w:r>
        <w:t>1,3-Di(t</w:t>
      </w:r>
      <w:r w:rsidR="007D782F">
        <w:t>etradecyl)</w:t>
      </w:r>
      <w:r w:rsidR="007C78B8">
        <w:t>imidazolium chloride</w:t>
      </w:r>
      <w:r w:rsidR="007D782F" w:rsidRPr="007D782F">
        <w:t xml:space="preserve"> ([C₁₄C₁₄IM][</w:t>
      </w:r>
      <w:r w:rsidR="007D782F">
        <w:t>Cl</w:t>
      </w:r>
      <w:r w:rsidR="007D782F" w:rsidRPr="007D782F">
        <w:t>])</w:t>
      </w:r>
    </w:p>
    <w:p w14:paraId="29A2A13F" w14:textId="3DAA5B68" w:rsidR="007C78B8" w:rsidRPr="00AD3F04" w:rsidRDefault="005E5A4A" w:rsidP="000B50FA">
      <w:pPr>
        <w:pStyle w:val="RSCB02ArticleText"/>
      </w:pPr>
      <w:r w:rsidRPr="006F37DD">
        <w:t>The synthesis was carried out following the general procedure</w:t>
      </w:r>
      <w:r w:rsidR="00FF1948">
        <w:t xml:space="preserve"> (ESI. Synthetical</w:t>
      </w:r>
      <w:r w:rsidR="00FF1948" w:rsidRPr="00D865C7">
        <w:t xml:space="preserve"> procedure </w:t>
      </w:r>
      <w:r w:rsidR="00FF1948">
        <w:t>4)</w:t>
      </w:r>
      <w:r w:rsidRPr="006F37DD">
        <w:t xml:space="preserve"> </w:t>
      </w:r>
      <w:r w:rsidR="009B4C87">
        <w:t>with 1,3-</w:t>
      </w:r>
      <w:r w:rsidR="009B4C87">
        <w:lastRenderedPageBreak/>
        <w:t>di</w:t>
      </w:r>
      <w:r w:rsidR="00FA7126">
        <w:t>(t</w:t>
      </w:r>
      <w:r w:rsidRPr="006F37DD">
        <w:t>etradecyl)imidazolium acetate (0.4012 g, 1.0 mL, 0.77 mmol). Isolated yield 0.564 g, 91</w:t>
      </w:r>
      <w:r w:rsidR="003B2EC9">
        <w:t>%</w:t>
      </w:r>
      <w:r w:rsidRPr="006F37DD">
        <w:t xml:space="preserve">. Yellow to </w:t>
      </w:r>
      <w:r>
        <w:t>orange</w:t>
      </w:r>
      <w:r w:rsidRPr="006F37DD">
        <w:t xml:space="preserve"> solid.</w:t>
      </w:r>
      <w:r w:rsidRPr="0051100B">
        <w:t xml:space="preserve"> Melting point: </w:t>
      </w:r>
      <w:r w:rsidR="00E72545">
        <w:t>43 °C</w:t>
      </w:r>
      <w:r w:rsidRPr="0051100B">
        <w:t xml:space="preserve">. </w:t>
      </w:r>
      <w:r w:rsidRPr="006F37DD">
        <w:t xml:space="preserve"> </w:t>
      </w:r>
      <w:r w:rsidRPr="005E5A4A">
        <w:t xml:space="preserve">Decomposition temperature: 260 °C. ¹H NMR (400 MHz, CDCl₃, Me₄Si, δ/ppm): 7.26 (2 H, d, J 1.46), 0.88 (6 H, t, J 6.74), 1.29 (48 H, dd, J 31.53, 4.41), 1.92 (4 H, t, J 7.39), 4.36 (4 H, t, J 7.43), 11.06 (1 H, s). ¹³C NMR (100 MHz, CDCl₃, Me₄Si, δ/ppm): 138.0, 121.8, 50.1, 31.9, 30.4, 29.7, 29.7, 29.6, 29.5, 29.4, 29.4, 29.0, 26.3, 22.7, 14.1. IR (Diamond-ATR, neat, cm⁻¹): 3447, 3371, 3256, 3133, 3038, 2954, 2918, 2871, 2850, 1643, 1564, 1464, 1403, 1376, 1365, 1338, 1307, 1258, 1235, 1213, 1191, 1137, 1109, 1094, 1063, 1034, 869, 849, 813, 775, 750, 721, 662, 637, 495, 446, 440, 428, 414. </w:t>
      </w:r>
    </w:p>
    <w:p w14:paraId="4DD7E060" w14:textId="112B6799" w:rsidR="007C78B8" w:rsidRPr="007D782F" w:rsidRDefault="00235D91" w:rsidP="007C78B8">
      <w:pPr>
        <w:pStyle w:val="RSCB07BHeadingSub-Section-standalone"/>
      </w:pPr>
      <w:r>
        <w:rPr>
          <w:lang w:val="en-US"/>
        </w:rPr>
        <w:t>1,3-Di(t</w:t>
      </w:r>
      <w:r w:rsidR="007D782F">
        <w:rPr>
          <w:lang w:val="en-US"/>
        </w:rPr>
        <w:t xml:space="preserve">etradecyl)imidazolium </w:t>
      </w:r>
      <w:r w:rsidR="001652C6">
        <w:t>hydr</w:t>
      </w:r>
      <w:r w:rsidR="007D782F">
        <w:rPr>
          <w:lang w:val="en-US"/>
        </w:rPr>
        <w:t xml:space="preserve">oxalate </w:t>
      </w:r>
      <w:r w:rsidR="007D782F" w:rsidRPr="007D782F">
        <w:t>([C₁₄C₁₄IM][</w:t>
      </w:r>
      <w:r w:rsidR="007D782F">
        <w:t>Ox</w:t>
      </w:r>
      <w:r w:rsidR="007D782F" w:rsidRPr="007D782F">
        <w:t>])</w:t>
      </w:r>
    </w:p>
    <w:p w14:paraId="69987BD5" w14:textId="448BD865" w:rsidR="007C78B8" w:rsidRDefault="005E5A4A" w:rsidP="000B50FA">
      <w:pPr>
        <w:pStyle w:val="RSCB02ArticleText"/>
      </w:pPr>
      <w:r w:rsidRPr="002D2614">
        <w:t>The synthesis was carried out following th</w:t>
      </w:r>
      <w:r w:rsidRPr="00C80CB2">
        <w:t>e general procedure</w:t>
      </w:r>
      <w:r w:rsidR="00D865C7">
        <w:t xml:space="preserve"> (ESI. Synthetical</w:t>
      </w:r>
      <w:r w:rsidR="00D865C7" w:rsidRPr="00D865C7">
        <w:t xml:space="preserve"> procedure </w:t>
      </w:r>
      <w:r w:rsidR="00D865C7">
        <w:t>6)</w:t>
      </w:r>
      <w:r w:rsidRPr="00C80CB2">
        <w:t xml:space="preserve"> </w:t>
      </w:r>
      <w:r w:rsidR="009B4C87">
        <w:t>with 1,3-di</w:t>
      </w:r>
      <w:r w:rsidR="00FA7126">
        <w:t>(t</w:t>
      </w:r>
      <w:r w:rsidRPr="00C80CB2">
        <w:t>etradecyl)imidazolium acetate (0.6894 g, 1.69 mmol). Isolated yield 0.6537 g, 88</w:t>
      </w:r>
      <w:r w:rsidR="003B2EC9">
        <w:t>%</w:t>
      </w:r>
      <w:r w:rsidRPr="00C80CB2">
        <w:t xml:space="preserve">. </w:t>
      </w:r>
      <w:r>
        <w:t>Yellow</w:t>
      </w:r>
      <w:r w:rsidRPr="00C80CB2">
        <w:t xml:space="preserve"> solid. </w:t>
      </w:r>
      <w:r w:rsidRPr="00C31959">
        <w:t xml:space="preserve">Melting point: </w:t>
      </w:r>
      <w:r w:rsidR="00E72545">
        <w:t>130 °C</w:t>
      </w:r>
      <w:r w:rsidRPr="00C31959">
        <w:t xml:space="preserve">. </w:t>
      </w:r>
      <w:r w:rsidR="00533C16" w:rsidRPr="005E5A4A">
        <w:t>Decomposition temperature: 229</w:t>
      </w:r>
      <w:r w:rsidRPr="005E5A4A">
        <w:t xml:space="preserve"> °C. ¹H NMR (400 MHz, CDCl₃, Me₄Si, δ/ppm): 0.88 (6 H, t, J 6.75), 1.27 (48 H, dd, J 20.76, 4.48), 1.86 (4 H, t, J 6.98), 4.29 (4 H, t, J 7.28), 7.18 (2 H, s), 10.53 (1 H, s). ¹³C NMR (100 MHz, CDCl₃, Me₄Si, δ/ppm): 163.6, 138.5, 121.7, 50.0, 31.9, 30.3, 29.7, 29.7, 29.6, 29.5, 29.4, 29.4, 29.0, 26.2, 22.7, 14.1. IR (Diamond-ATR, neat, cm⁻¹): 3139, 3103, 3082, 2954, 2917, 2872, 2849, 1679, 1595, 1563, 1464, 1375, 1328, 1256, 1160, 1094, 1003, 970, 890, 838, 811, 711, 656, 637, 601, 459. </w:t>
      </w:r>
    </w:p>
    <w:p w14:paraId="3A0B6244" w14:textId="0DD484FD" w:rsidR="00E36083" w:rsidRPr="004F0929" w:rsidRDefault="00235D91" w:rsidP="00E36083">
      <w:pPr>
        <w:pStyle w:val="RSCB07BHeadingSub-Section-standalone"/>
      </w:pPr>
      <w:r>
        <w:t>1,3-Di(h</w:t>
      </w:r>
      <w:r w:rsidR="007D782F">
        <w:t>exadecyl)</w:t>
      </w:r>
      <w:r w:rsidR="00E36083">
        <w:t>imidazolium acetate</w:t>
      </w:r>
      <w:bookmarkEnd w:id="13"/>
      <w:r w:rsidR="007D782F">
        <w:t xml:space="preserve"> </w:t>
      </w:r>
      <w:r w:rsidR="007D782F" w:rsidRPr="007D782F">
        <w:t>([C₁</w:t>
      </w:r>
      <w:r w:rsidR="007D782F">
        <w:rPr>
          <w:rFonts w:cstheme="minorHAnsi"/>
        </w:rPr>
        <w:t>₆</w:t>
      </w:r>
      <w:r w:rsidR="007D782F" w:rsidRPr="007D782F">
        <w:t>C₁</w:t>
      </w:r>
      <w:r w:rsidR="007D782F">
        <w:rPr>
          <w:rFonts w:cstheme="minorHAnsi"/>
        </w:rPr>
        <w:t>₆</w:t>
      </w:r>
      <w:r w:rsidR="007D782F" w:rsidRPr="007D782F">
        <w:t>IM][</w:t>
      </w:r>
      <w:r w:rsidR="007D782F">
        <w:t>Ac</w:t>
      </w:r>
      <w:r w:rsidR="007D782F" w:rsidRPr="007D782F">
        <w:t>])</w:t>
      </w:r>
    </w:p>
    <w:p w14:paraId="45BBA2C4" w14:textId="2565545D" w:rsidR="005E5A4A" w:rsidRPr="001A6FD9" w:rsidRDefault="005E5A4A" w:rsidP="000B50FA">
      <w:pPr>
        <w:pStyle w:val="RSCB02ArticleText"/>
      </w:pPr>
      <w:r w:rsidRPr="001A6FD9">
        <w:t>The synthesis was carried out following the general procedure</w:t>
      </w:r>
      <w:r w:rsidR="00FF1948">
        <w:t xml:space="preserve"> (ESI. Synthetical</w:t>
      </w:r>
      <w:r w:rsidR="00FF1948" w:rsidRPr="00D865C7">
        <w:t xml:space="preserve"> procedure </w:t>
      </w:r>
      <w:r w:rsidR="00FF1948">
        <w:t>3)</w:t>
      </w:r>
      <w:r w:rsidRPr="001A6FD9">
        <w:t xml:space="preserve"> with </w:t>
      </w:r>
      <w:r w:rsidR="00FA7126">
        <w:t>1-h</w:t>
      </w:r>
      <w:r w:rsidRPr="001A6FD9">
        <w:t>exadecylamine (94.0%, 28.67 g, 0</w:t>
      </w:r>
      <w:r w:rsidR="007426E7">
        <w:t>.012 mol), formaldehyde (36.5-38</w:t>
      </w:r>
      <w:r w:rsidR="003B2EC9">
        <w:t>%</w:t>
      </w:r>
      <w:r w:rsidRPr="001A6FD9">
        <w:t>, 4.92 g, 4.43 mL, 0.059</w:t>
      </w:r>
      <w:r w:rsidR="00537EB8">
        <w:t xml:space="preserve"> </w:t>
      </w:r>
      <w:r w:rsidR="007426E7">
        <w:t>mol), acetic acid (99.9</w:t>
      </w:r>
      <w:r w:rsidRPr="001A6FD9">
        <w:t>%, 5.32 g, 5.07 mL, 0.0885 mol), glyoxal (40 wt% in water, 8.56 g, 6.58 mL, 0.059 mol). Isolated yield 25.29 g, 6</w:t>
      </w:r>
      <w:r w:rsidR="003B2EC9">
        <w:t>7</w:t>
      </w:r>
      <w:r w:rsidRPr="001A6FD9">
        <w:t>% (≈0.5 eq of residual acetic acid). Amber to dark brown solid.</w:t>
      </w:r>
      <w:r w:rsidRPr="002A13ED">
        <w:t xml:space="preserve"> Melting point: </w:t>
      </w:r>
      <w:r w:rsidR="00E72545">
        <w:t>50 °C</w:t>
      </w:r>
      <w:r w:rsidRPr="002A13ED">
        <w:t xml:space="preserve">. </w:t>
      </w:r>
      <w:r w:rsidRPr="0046744C">
        <w:t xml:space="preserve"> </w:t>
      </w:r>
      <w:r w:rsidR="00533C16" w:rsidRPr="005E5A4A">
        <w:t>Decomposition temperature: 22</w:t>
      </w:r>
      <w:r w:rsidR="00533C16">
        <w:t>8</w:t>
      </w:r>
      <w:r w:rsidRPr="005E5A4A">
        <w:t xml:space="preserve"> °C. ¹H NMR (400 MHz, CDCl₃, Me₄Si, δ/ppm): 0.88 (6 H, t, J 6.64), 1.17 - 1.37 (56 H, m), 1.87 (4 H, t, J 7.36), 2.02 (5 H, s), 4.32 (4 H, t, J 7.41), 7.09 (2 H, s), 11.02 (1 H, s). ¹³C NMR (100 MHz, CDCl₃, Me₄Si, δ/ppm): 176.7, 139.8, 121.0, 49.9, 31.9, 30.3, 29.7, 29.7, 29.6, 29.5, 29.4, 29.4, 29.0, 26.3, 23.5, 22.7, 14.1. IR (Diamond-ATR, neat, cm⁻¹): 3157, 3103, 2953, 2913, 2870, 2849, 1705, 1561, 1470, 1456, 1376, 1294, 1172, 1099, 1043, 1007, 962, 878, 767, 739, 717, 672, 661, 633, 607</w:t>
      </w:r>
      <w:r>
        <w:t>, 507, 484, 468, 442, 414, 403.</w:t>
      </w:r>
    </w:p>
    <w:p w14:paraId="3255009E" w14:textId="03F3C3CD" w:rsidR="00B304C6" w:rsidRPr="004F0929" w:rsidRDefault="00235D91" w:rsidP="00B304C6">
      <w:pPr>
        <w:pStyle w:val="RSCB07BHeadingSub-Section-standalone"/>
      </w:pPr>
      <w:bookmarkStart w:id="14" w:name="_Toc22490692"/>
      <w:r>
        <w:t>1,3-Di(h</w:t>
      </w:r>
      <w:r w:rsidR="007D782F">
        <w:t>exadecyl)</w:t>
      </w:r>
      <w:r w:rsidR="00B304C6">
        <w:t>imidazolium nitrate</w:t>
      </w:r>
      <w:bookmarkEnd w:id="14"/>
      <w:r w:rsidR="007D782F">
        <w:t xml:space="preserve"> </w:t>
      </w:r>
      <w:r w:rsidR="007D782F" w:rsidRPr="007D782F">
        <w:t>([C₁</w:t>
      </w:r>
      <w:r w:rsidR="007D782F">
        <w:rPr>
          <w:rFonts w:cstheme="minorHAnsi"/>
        </w:rPr>
        <w:t>₆</w:t>
      </w:r>
      <w:r w:rsidR="007D782F" w:rsidRPr="007D782F">
        <w:t>C₁</w:t>
      </w:r>
      <w:r w:rsidR="007D782F">
        <w:rPr>
          <w:rFonts w:cstheme="minorHAnsi"/>
        </w:rPr>
        <w:t>₆</w:t>
      </w:r>
      <w:r w:rsidR="007D782F" w:rsidRPr="007D782F">
        <w:t>IM][</w:t>
      </w:r>
      <w:r w:rsidR="007D782F">
        <w:t>NO</w:t>
      </w:r>
      <w:r w:rsidR="007D782F" w:rsidRPr="007D782F">
        <w:rPr>
          <w:rFonts w:cstheme="minorHAnsi"/>
        </w:rPr>
        <w:t>₃</w:t>
      </w:r>
      <w:r w:rsidR="007D782F" w:rsidRPr="007D782F">
        <w:t>])</w:t>
      </w:r>
    </w:p>
    <w:p w14:paraId="244712A3" w14:textId="39B85C90" w:rsidR="005E5A4A" w:rsidRPr="00E96F6C" w:rsidRDefault="005E5A4A" w:rsidP="000B50FA">
      <w:pPr>
        <w:pStyle w:val="RSCB02ArticleText"/>
      </w:pPr>
      <w:r w:rsidRPr="00E96F6C">
        <w:t>The synthesis was carried out following the general procedure</w:t>
      </w:r>
      <w:r w:rsidR="00D865C7">
        <w:t xml:space="preserve"> (ESI. Synthetical</w:t>
      </w:r>
      <w:r w:rsidR="00D865C7" w:rsidRPr="00D865C7">
        <w:t xml:space="preserve"> procedure </w:t>
      </w:r>
      <w:r w:rsidR="00D865C7">
        <w:t>5)</w:t>
      </w:r>
      <w:r w:rsidRPr="00E96F6C">
        <w:t xml:space="preserve"> </w:t>
      </w:r>
      <w:r w:rsidR="009B4C87">
        <w:t>with 1,3-di</w:t>
      </w:r>
      <w:r w:rsidR="00FA7126">
        <w:t>(h</w:t>
      </w:r>
      <w:r w:rsidRPr="00E96F6C">
        <w:t>exadecyl)imidazolium acetate (0.7951 g, 1.0 mL, 1.38 mmol). Isolated yield 0.7915 g, 99</w:t>
      </w:r>
      <w:r w:rsidR="003B2EC9">
        <w:t>%</w:t>
      </w:r>
      <w:r w:rsidRPr="00E96F6C">
        <w:t>. Amber to dark brown solid.</w:t>
      </w:r>
      <w:r>
        <w:t xml:space="preserve"> Melting point</w:t>
      </w:r>
      <w:r w:rsidRPr="00CF3E99">
        <w:t xml:space="preserve">: </w:t>
      </w:r>
      <w:r w:rsidR="00E72545">
        <w:t>127 °C</w:t>
      </w:r>
      <w:r w:rsidRPr="00CF3E99">
        <w:t>.</w:t>
      </w:r>
      <w:r w:rsidRPr="00E96F6C">
        <w:t xml:space="preserve"> </w:t>
      </w:r>
      <w:r w:rsidR="00533C16" w:rsidRPr="005E5A4A">
        <w:t>Decomposition temperature: 290</w:t>
      </w:r>
      <w:r w:rsidRPr="005E5A4A">
        <w:t xml:space="preserve"> °C. ¹H NMR (400 MHz, CDCl₃, Me₄Si, δ/ppm): 7.25 (2 H, d, J 1.58), 4.25 (4 H, t, J 7.40), 0.88 (6 H, t, J 6.77), 1.19 - 1.35 (56 H, m), 1.89 (4 H, p, J 7.75, 7.74), 10.21 (1 H, s). ¹³C NMR (100 MHz, CDCl₃, Me₄Si, δ/ppm): 137.6, 122.1, 50.1, 31.9, 30.3, 29.7, 29.7, 29.6, 29.6, 29.4, 29.4, 29.0, 26.3, 22.7, 14.1. IR (Diamond-ATR, neat, </w:t>
      </w:r>
      <w:r w:rsidRPr="005E5A4A">
        <w:t xml:space="preserve">cm⁻¹): 3460, 3135, 3091, 3044, 2953, 2916, 2849, 1745, 1656, 1563, 1466, 1338, 1214, 1162, 1100, 1067, 1040, 889, 829, 779, 740, 720, 659, 610, 573, 548, 533, 520, 515, 509, 500, 492, 486, 481, 476, 469, 464, 459, 453, 443, 439, 428, 413, 408. </w:t>
      </w:r>
    </w:p>
    <w:p w14:paraId="77011AEB" w14:textId="622F8318" w:rsidR="00B304C6" w:rsidRPr="004F0929" w:rsidRDefault="00235D91" w:rsidP="008A7A35">
      <w:pPr>
        <w:pStyle w:val="RSCB07BHeadingSub-Section-standalone"/>
      </w:pPr>
      <w:r>
        <w:t>1,3-Di(h</w:t>
      </w:r>
      <w:r w:rsidR="007D782F">
        <w:t>exadecyl)</w:t>
      </w:r>
      <w:r w:rsidR="00B304C6">
        <w:t>imidazolium chloride</w:t>
      </w:r>
      <w:r w:rsidR="007D782F">
        <w:t xml:space="preserve"> </w:t>
      </w:r>
      <w:r w:rsidR="007D782F" w:rsidRPr="007D782F">
        <w:t>([C₁</w:t>
      </w:r>
      <w:r w:rsidR="007D782F">
        <w:rPr>
          <w:rFonts w:cstheme="minorHAnsi"/>
        </w:rPr>
        <w:t>₆</w:t>
      </w:r>
      <w:r w:rsidR="007D782F" w:rsidRPr="007D782F">
        <w:t>C₁</w:t>
      </w:r>
      <w:r w:rsidR="007D782F">
        <w:rPr>
          <w:rFonts w:cstheme="minorHAnsi"/>
        </w:rPr>
        <w:t>₆</w:t>
      </w:r>
      <w:r w:rsidR="007D782F" w:rsidRPr="007D782F">
        <w:t>IM][</w:t>
      </w:r>
      <w:r w:rsidR="007D782F">
        <w:t>Cl</w:t>
      </w:r>
      <w:r w:rsidR="007D782F" w:rsidRPr="007D782F">
        <w:t>])</w:t>
      </w:r>
    </w:p>
    <w:p w14:paraId="6C381FA4" w14:textId="47556EAF" w:rsidR="005E5A4A" w:rsidRPr="005E5A4A" w:rsidRDefault="005E5A4A" w:rsidP="000B50FA">
      <w:pPr>
        <w:pStyle w:val="RSCB02ArticleText"/>
      </w:pPr>
      <w:r w:rsidRPr="0050110E">
        <w:t>The synthesis was carried out following the general procedure</w:t>
      </w:r>
      <w:r w:rsidR="00FF1948">
        <w:t xml:space="preserve"> (ESI. Synthetical</w:t>
      </w:r>
      <w:r w:rsidR="00FF1948" w:rsidRPr="00D865C7">
        <w:t xml:space="preserve"> procedure </w:t>
      </w:r>
      <w:r w:rsidR="00FF1948">
        <w:t>4)</w:t>
      </w:r>
      <w:r w:rsidRPr="0050110E">
        <w:t xml:space="preserve"> </w:t>
      </w:r>
      <w:r w:rsidR="009B4C87">
        <w:t>with 1,3-di</w:t>
      </w:r>
      <w:r w:rsidR="00FA7126">
        <w:t>(h</w:t>
      </w:r>
      <w:r w:rsidRPr="0050110E">
        <w:t>exadecyl)imidazolium acetate (0.7951 g, 1.0 mL, 1.38 mmol). Isolated yield 0.6950 g, 91</w:t>
      </w:r>
      <w:r w:rsidR="003B2EC9">
        <w:t>%</w:t>
      </w:r>
      <w:r w:rsidRPr="0050110E">
        <w:t>. Amber to dark brown solid.</w:t>
      </w:r>
      <w:r>
        <w:t xml:space="preserve"> Melting point</w:t>
      </w:r>
      <w:r w:rsidRPr="00CF3E99">
        <w:t xml:space="preserve">: </w:t>
      </w:r>
      <w:r w:rsidR="00E72545">
        <w:t>12</w:t>
      </w:r>
      <w:r w:rsidR="0074554D">
        <w:t>8</w:t>
      </w:r>
      <w:bookmarkStart w:id="15" w:name="_GoBack"/>
      <w:bookmarkEnd w:id="15"/>
      <w:r w:rsidR="00E72545">
        <w:t xml:space="preserve"> °C</w:t>
      </w:r>
      <w:r w:rsidRPr="00CF3E99">
        <w:t>.</w:t>
      </w:r>
      <w:r w:rsidRPr="00C243F1">
        <w:t xml:space="preserve"> </w:t>
      </w:r>
      <w:r>
        <w:t>Melting temperature</w:t>
      </w:r>
      <w:r w:rsidRPr="00CF3E99">
        <w:t xml:space="preserve">: </w:t>
      </w:r>
      <w:r w:rsidR="00E72545">
        <w:t>38 °C</w:t>
      </w:r>
      <w:r w:rsidRPr="00CF3E99">
        <w:t>.</w:t>
      </w:r>
      <w:r w:rsidRPr="0050110E">
        <w:t xml:space="preserve"> </w:t>
      </w:r>
      <w:r w:rsidRPr="005E5A4A">
        <w:t>D</w:t>
      </w:r>
      <w:r w:rsidR="00533C16">
        <w:t>ecomposition temperature: 260</w:t>
      </w:r>
      <w:r w:rsidRPr="005E5A4A">
        <w:t xml:space="preserve"> °C. ¹H NMR (400 MHz, CDCl₃, Me₄Si, δ/ppm): 1.91 (4 H, p, J 7.16, 7.01), 0.87 (6 H, d, J 7.07), 1.23 - 1.33 (56 H, m), 4.36 (4 H, t, J 7.41), 7.37 (2 H, s), 10.72 (1 H, s). ¹³C NMR (100 MHz, CDCl₃, Me₄Si, δ/ppm): 138.0, 121.7, 50.2, 31.9, 30.3, 29.7, 29.7, 29.6, 29.5, 29.4, 29.4, 29.1, 26.3, 22.7, 14.1. IR (Diamond-ATR, neat, cm⁻¹): 3394, 2954, 2917, 2849, 1671, 1562, 1466, 1407, 1375, 1331, 1248, 1163, 1128, 1100, 887, 862, 842, 779, 739, 721, 658, 575, 523, 500, 493, 484, 461, 453, 445, 430, 418. </w:t>
      </w:r>
    </w:p>
    <w:p w14:paraId="0A948743" w14:textId="50280FF1" w:rsidR="00B304C6" w:rsidRPr="004F0929" w:rsidRDefault="00235D91" w:rsidP="00B304C6">
      <w:pPr>
        <w:pStyle w:val="RSCB07BHeadingSub-Section-standalone"/>
      </w:pPr>
      <w:r>
        <w:t>1,3-Di(h</w:t>
      </w:r>
      <w:r w:rsidR="007D782F">
        <w:t>exadecyl)</w:t>
      </w:r>
      <w:r w:rsidR="00B304C6">
        <w:t xml:space="preserve">imidazolium </w:t>
      </w:r>
      <w:r w:rsidR="001652C6">
        <w:t>hydr</w:t>
      </w:r>
      <w:r w:rsidR="00B304C6">
        <w:t>oxalate</w:t>
      </w:r>
      <w:r w:rsidR="007D782F">
        <w:t xml:space="preserve"> </w:t>
      </w:r>
      <w:r w:rsidR="007D782F" w:rsidRPr="007D782F">
        <w:t>([C₁</w:t>
      </w:r>
      <w:r w:rsidR="007D782F">
        <w:rPr>
          <w:rFonts w:cstheme="minorHAnsi"/>
        </w:rPr>
        <w:t>₆</w:t>
      </w:r>
      <w:r w:rsidR="007D782F" w:rsidRPr="007D782F">
        <w:t>C₁</w:t>
      </w:r>
      <w:r w:rsidR="007D782F">
        <w:rPr>
          <w:rFonts w:cstheme="minorHAnsi"/>
        </w:rPr>
        <w:t>₆</w:t>
      </w:r>
      <w:r w:rsidR="007D782F" w:rsidRPr="007D782F">
        <w:t>IM][</w:t>
      </w:r>
      <w:r w:rsidR="007D782F">
        <w:t>Ox</w:t>
      </w:r>
      <w:r w:rsidR="007D782F" w:rsidRPr="007D782F">
        <w:t>])</w:t>
      </w:r>
    </w:p>
    <w:p w14:paraId="51E30EE7" w14:textId="518E68DA" w:rsidR="00E36083" w:rsidRDefault="005E5A4A" w:rsidP="000B50FA">
      <w:pPr>
        <w:pStyle w:val="RSCB02ArticleText"/>
      </w:pPr>
      <w:r w:rsidRPr="00C243F1">
        <w:t>The synthesis was carried out following the general procedure</w:t>
      </w:r>
      <w:r w:rsidR="00D865C7">
        <w:t xml:space="preserve"> (ESI. Synthetical</w:t>
      </w:r>
      <w:r w:rsidR="00D865C7" w:rsidRPr="00D865C7">
        <w:t xml:space="preserve"> procedure </w:t>
      </w:r>
      <w:r w:rsidR="00D865C7">
        <w:t>6)</w:t>
      </w:r>
      <w:r w:rsidRPr="00C243F1">
        <w:t xml:space="preserve"> </w:t>
      </w:r>
      <w:r w:rsidR="009B4C87">
        <w:t>with 1,3-di</w:t>
      </w:r>
      <w:r w:rsidR="00FA7126">
        <w:t>(h</w:t>
      </w:r>
      <w:r w:rsidRPr="00C243F1">
        <w:t>exadecyl)imidazolium acetate (0.7943 g, 1.0 mL, 1.38 mmol). Isolated yield 0.4425 g, 53</w:t>
      </w:r>
      <w:r w:rsidR="003B2EC9">
        <w:t>%</w:t>
      </w:r>
      <w:r w:rsidRPr="00C243F1">
        <w:t>. Amber to dark brown solid.</w:t>
      </w:r>
      <w:r>
        <w:t xml:space="preserve"> Melting point</w:t>
      </w:r>
      <w:r w:rsidRPr="00CF3E99">
        <w:t xml:space="preserve">: </w:t>
      </w:r>
      <w:r w:rsidR="00E72545">
        <w:t>109 °C</w:t>
      </w:r>
      <w:r w:rsidRPr="00CF3E99">
        <w:t>.</w:t>
      </w:r>
      <w:r w:rsidRPr="00C243F1">
        <w:t xml:space="preserve"> </w:t>
      </w:r>
      <w:r w:rsidR="00533C16" w:rsidRPr="005E5A4A">
        <w:t>Decomposition temperature: 229</w:t>
      </w:r>
      <w:r w:rsidRPr="005E5A4A">
        <w:t xml:space="preserve"> °C. ¹H NMR (400 MHz, CDCl₃, Me₄Si, δ/ppm): 0.88 (6 H, t, J 6.77), 1.23 - 1.34 (56 H, m), 1.84 (4 H, q, J 7.10, 7.00), 4.37 (4 H, t, J 7.39), 7.11 (2 H, s), 11.29 (1 H, s). ¹³C NMR (100 MHz, CDCl₃, Me₄Si, δ/ppm): 168.0, 140.8, 120.9, 49.8, 31.9, 30.4, 29.7, 29.7, 29.6, 29.4, 29.4, 29.1, 29.7, 26.3, 22.7, 14.1. IR (Diamond-ATR, neat, cm⁻¹): 2955, 2917, 2872, 2849, 1554, 1466, 1375, 1334, 1295, 1162, 1128, 1064, 1020, 888, 839, 780, 742, 720, 661, 604, 455, 446, 429, 416. </w:t>
      </w:r>
    </w:p>
    <w:p w14:paraId="1F85FA9A" w14:textId="6FDE5812" w:rsidR="00B4344C" w:rsidRDefault="00B4344C" w:rsidP="00B4344C">
      <w:pPr>
        <w:pStyle w:val="RSCB04AHeadingSection"/>
        <w:rPr>
          <w:noProof/>
        </w:rPr>
      </w:pPr>
      <w:r w:rsidRPr="0012525E">
        <w:rPr>
          <w:noProof/>
        </w:rPr>
        <w:t>Results and discussion</w:t>
      </w:r>
    </w:p>
    <w:p w14:paraId="0180E530" w14:textId="773C23BC" w:rsidR="00C53821" w:rsidRDefault="00C53821" w:rsidP="00C53821">
      <w:pPr>
        <w:pStyle w:val="RSCB07BHeadingSub-Section-standalone"/>
        <w:rPr>
          <w:noProof/>
        </w:rPr>
      </w:pPr>
      <w:r>
        <w:rPr>
          <w:noProof/>
        </w:rPr>
        <w:t>Procedure optimization</w:t>
      </w:r>
    </w:p>
    <w:p w14:paraId="18BDA369" w14:textId="6A2A2844" w:rsidR="00CD366A" w:rsidRDefault="00F11F69" w:rsidP="000B50FA">
      <w:pPr>
        <w:pStyle w:val="RSCB02ArticleText"/>
        <w:rPr>
          <w:noProof/>
        </w:rPr>
      </w:pPr>
      <w:r>
        <w:rPr>
          <w:noProof/>
        </w:rPr>
        <w:t xml:space="preserve">The </w:t>
      </w:r>
      <w:r w:rsidR="00CB7FE9">
        <w:rPr>
          <w:noProof/>
        </w:rPr>
        <w:t xml:space="preserve">reaction procedure </w:t>
      </w:r>
      <w:r>
        <w:rPr>
          <w:noProof/>
        </w:rPr>
        <w:t xml:space="preserve">was </w:t>
      </w:r>
      <w:r w:rsidR="0057585D">
        <w:rPr>
          <w:noProof/>
        </w:rPr>
        <w:t xml:space="preserve">optimized </w:t>
      </w:r>
      <w:r w:rsidR="000A43D3">
        <w:rPr>
          <w:noProof/>
        </w:rPr>
        <w:t>for</w:t>
      </w:r>
      <w:r>
        <w:rPr>
          <w:noProof/>
        </w:rPr>
        <w:t xml:space="preserve"> the synthesis of </w:t>
      </w:r>
      <w:r w:rsidR="00235D91">
        <w:rPr>
          <w:noProof/>
        </w:rPr>
        <w:t>1,3-</w:t>
      </w:r>
      <w:r w:rsidR="00C36AF9">
        <w:rPr>
          <w:noProof/>
        </w:rPr>
        <w:t>d</w:t>
      </w:r>
      <w:r w:rsidR="00235D91">
        <w:rPr>
          <w:noProof/>
        </w:rPr>
        <w:t>i(d</w:t>
      </w:r>
      <w:r>
        <w:rPr>
          <w:noProof/>
        </w:rPr>
        <w:t>ecyl)imidazolium acetate</w:t>
      </w:r>
      <w:r w:rsidR="00C305B9">
        <w:rPr>
          <w:noProof/>
        </w:rPr>
        <w:t xml:space="preserve">. </w:t>
      </w:r>
      <w:r w:rsidR="00A36D14">
        <w:rPr>
          <w:noProof/>
        </w:rPr>
        <w:t>Formerly, t</w:t>
      </w:r>
      <w:r w:rsidR="00722E0C">
        <w:rPr>
          <w:noProof/>
        </w:rPr>
        <w:t>his derivative</w:t>
      </w:r>
      <w:r w:rsidR="00C305B9">
        <w:rPr>
          <w:noProof/>
        </w:rPr>
        <w:t xml:space="preserve"> </w:t>
      </w:r>
      <w:r>
        <w:rPr>
          <w:noProof/>
        </w:rPr>
        <w:t xml:space="preserve">was </w:t>
      </w:r>
      <w:r w:rsidR="00B868CA">
        <w:rPr>
          <w:noProof/>
        </w:rPr>
        <w:t>synthesised</w:t>
      </w:r>
      <w:r>
        <w:rPr>
          <w:noProof/>
        </w:rPr>
        <w:t xml:space="preserve"> with </w:t>
      </w:r>
      <w:r w:rsidR="00375854">
        <w:rPr>
          <w:noProof/>
        </w:rPr>
        <w:t xml:space="preserve">only </w:t>
      </w:r>
      <w:r>
        <w:rPr>
          <w:noProof/>
        </w:rPr>
        <w:t xml:space="preserve">a </w:t>
      </w:r>
      <w:r w:rsidR="00CA4E34">
        <w:rPr>
          <w:noProof/>
        </w:rPr>
        <w:t>moderate</w:t>
      </w:r>
      <w:r>
        <w:rPr>
          <w:noProof/>
        </w:rPr>
        <w:t xml:space="preserve"> </w:t>
      </w:r>
      <w:r w:rsidR="00023A1B">
        <w:rPr>
          <w:noProof/>
        </w:rPr>
        <w:t>isolate</w:t>
      </w:r>
      <w:r w:rsidR="00375854">
        <w:rPr>
          <w:noProof/>
        </w:rPr>
        <w:t>d</w:t>
      </w:r>
      <w:r w:rsidR="00023A1B">
        <w:rPr>
          <w:noProof/>
        </w:rPr>
        <w:t xml:space="preserve"> </w:t>
      </w:r>
      <w:r>
        <w:rPr>
          <w:noProof/>
        </w:rPr>
        <w:t>yield</w:t>
      </w:r>
      <w:r w:rsidR="00474F8A">
        <w:rPr>
          <w:noProof/>
        </w:rPr>
        <w:t xml:space="preserve"> (53%)</w:t>
      </w:r>
      <w:r w:rsidR="004E18F8">
        <w:rPr>
          <w:noProof/>
        </w:rPr>
        <w:t>.</w:t>
      </w:r>
      <w:r w:rsidR="00D15268">
        <w:rPr>
          <w:rStyle w:val="FootnoteReference"/>
          <w:noProof/>
        </w:rPr>
        <w:fldChar w:fldCharType="begin" w:fldLock="1"/>
      </w:r>
      <w:r w:rsidR="00D15268">
        <w:rPr>
          <w:noProof/>
        </w:rPr>
        <w:instrText>ADDIN CSL_CITATION {"citationItems":[{"id":"ITEM-1","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Advances","id":"ITEM-1","issue":"11","issued":{"date-parts":[["2016"]]},"page":"8848-8859","publisher":"Royal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mendeley":{"formattedCitation":"&lt;sup&gt;17&lt;/sup&gt;","plainTextFormattedCitation":"17","previouslyFormattedCitation":"&lt;sup&gt;17&lt;/sup&gt;"},"properties":{"noteIndex":0},"schema":"https://github.com/citation-style-language/schema/raw/master/csl-citation.json"}</w:instrText>
      </w:r>
      <w:r w:rsidR="00D15268">
        <w:rPr>
          <w:rStyle w:val="FootnoteReference"/>
          <w:noProof/>
        </w:rPr>
        <w:fldChar w:fldCharType="separate"/>
      </w:r>
      <w:r w:rsidR="00D15268" w:rsidRPr="00CB1AEF">
        <w:rPr>
          <w:noProof/>
          <w:vertAlign w:val="superscript"/>
        </w:rPr>
        <w:t>17</w:t>
      </w:r>
      <w:r w:rsidR="00D15268">
        <w:rPr>
          <w:rStyle w:val="FootnoteReference"/>
          <w:noProof/>
        </w:rPr>
        <w:fldChar w:fldCharType="end"/>
      </w:r>
      <w:r w:rsidR="004E18F8">
        <w:rPr>
          <w:noProof/>
        </w:rPr>
        <w:t xml:space="preserve"> </w:t>
      </w:r>
      <w:r w:rsidR="00AB4883">
        <w:rPr>
          <w:noProof/>
        </w:rPr>
        <w:t>Thus</w:t>
      </w:r>
      <w:r w:rsidR="008E4C23">
        <w:rPr>
          <w:noProof/>
        </w:rPr>
        <w:t>, t</w:t>
      </w:r>
      <w:r w:rsidR="004E18F8">
        <w:rPr>
          <w:noProof/>
        </w:rPr>
        <w:t xml:space="preserve">his was an </w:t>
      </w:r>
      <w:r w:rsidR="00E937C3">
        <w:rPr>
          <w:noProof/>
        </w:rPr>
        <w:t>ideal</w:t>
      </w:r>
      <w:r w:rsidR="00B868CA">
        <w:rPr>
          <w:noProof/>
        </w:rPr>
        <w:t xml:space="preserve"> </w:t>
      </w:r>
      <w:r w:rsidR="00722E0C">
        <w:rPr>
          <w:noProof/>
        </w:rPr>
        <w:t xml:space="preserve">starting point for the </w:t>
      </w:r>
      <w:r w:rsidR="00474F8A">
        <w:rPr>
          <w:noProof/>
        </w:rPr>
        <w:t xml:space="preserve">assessment </w:t>
      </w:r>
      <w:r w:rsidR="00722E0C">
        <w:rPr>
          <w:noProof/>
        </w:rPr>
        <w:t>of reaction</w:t>
      </w:r>
      <w:r w:rsidR="00B868CA">
        <w:rPr>
          <w:noProof/>
        </w:rPr>
        <w:t xml:space="preserve"> optimization</w:t>
      </w:r>
      <w:r w:rsidR="00131CFC">
        <w:rPr>
          <w:noProof/>
        </w:rPr>
        <w:t>.</w:t>
      </w:r>
      <w:r w:rsidR="00D15268">
        <w:rPr>
          <w:rStyle w:val="FootnoteReference"/>
          <w:noProof/>
        </w:rPr>
        <w:fldChar w:fldCharType="begin" w:fldLock="1"/>
      </w:r>
      <w:r w:rsidR="00D15268">
        <w:rPr>
          <w:noProof/>
        </w:rPr>
        <w:instrText>ADDIN CSL_CITATION {"citationItems":[{"id":"ITEM-1","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Advances","id":"ITEM-1","issue":"11","issued":{"date-parts":[["2016"]]},"page":"8848-8859","publisher":"Royal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mendeley":{"formattedCitation":"&lt;sup&gt;17&lt;/sup&gt;","plainTextFormattedCitation":"17","previouslyFormattedCitation":"&lt;sup&gt;17&lt;/sup&gt;"},"properties":{"noteIndex":0},"schema":"https://github.com/citation-style-language/schema/raw/master/csl-citation.json"}</w:instrText>
      </w:r>
      <w:r w:rsidR="00D15268">
        <w:rPr>
          <w:rStyle w:val="FootnoteReference"/>
          <w:noProof/>
        </w:rPr>
        <w:fldChar w:fldCharType="separate"/>
      </w:r>
      <w:r w:rsidR="00D15268" w:rsidRPr="00CB1AEF">
        <w:rPr>
          <w:noProof/>
          <w:vertAlign w:val="superscript"/>
        </w:rPr>
        <w:t>17</w:t>
      </w:r>
      <w:r w:rsidR="00D15268">
        <w:rPr>
          <w:rStyle w:val="FootnoteReference"/>
          <w:noProof/>
        </w:rPr>
        <w:fldChar w:fldCharType="end"/>
      </w:r>
      <w:r w:rsidR="00131CFC" w:rsidRPr="00774579">
        <w:rPr>
          <w:noProof/>
        </w:rPr>
        <w:t xml:space="preserve"> </w:t>
      </w:r>
      <w:r w:rsidR="00612304" w:rsidRPr="00774579">
        <w:rPr>
          <w:noProof/>
        </w:rPr>
        <w:t>Depuydt</w:t>
      </w:r>
      <w:r w:rsidR="000C4FA6" w:rsidRPr="00774579">
        <w:rPr>
          <w:noProof/>
        </w:rPr>
        <w:t xml:space="preserve"> et al. reported losses in the purification procedure of the heaviest compounds synthesised. </w:t>
      </w:r>
      <w:r w:rsidR="008E4C23" w:rsidRPr="00774579">
        <w:rPr>
          <w:noProof/>
        </w:rPr>
        <w:t>W</w:t>
      </w:r>
      <w:r w:rsidR="00381409" w:rsidRPr="00774579">
        <w:rPr>
          <w:noProof/>
        </w:rPr>
        <w:t>hen the</w:t>
      </w:r>
      <w:r w:rsidR="00AB2762" w:rsidRPr="00774579">
        <w:rPr>
          <w:noProof/>
        </w:rPr>
        <w:t xml:space="preserve"> </w:t>
      </w:r>
      <w:r w:rsidR="00B868CA" w:rsidRPr="00774579">
        <w:rPr>
          <w:noProof/>
        </w:rPr>
        <w:t xml:space="preserve">purification </w:t>
      </w:r>
      <w:r w:rsidR="00AB2762" w:rsidRPr="00774579">
        <w:rPr>
          <w:noProof/>
        </w:rPr>
        <w:t>of</w:t>
      </w:r>
      <w:r w:rsidRPr="00774579">
        <w:rPr>
          <w:noProof/>
        </w:rPr>
        <w:t xml:space="preserve"> the </w:t>
      </w:r>
      <w:r w:rsidR="00AB2762" w:rsidRPr="00774579">
        <w:rPr>
          <w:noProof/>
        </w:rPr>
        <w:t>imidazolium salt</w:t>
      </w:r>
      <w:r w:rsidR="00B868CA" w:rsidRPr="00774579">
        <w:rPr>
          <w:noProof/>
        </w:rPr>
        <w:t xml:space="preserve"> was done via several</w:t>
      </w:r>
      <w:r w:rsidRPr="00774579">
        <w:rPr>
          <w:noProof/>
        </w:rPr>
        <w:t xml:space="preserve"> </w:t>
      </w:r>
      <w:r w:rsidR="00C305B9" w:rsidRPr="00774579">
        <w:rPr>
          <w:noProof/>
        </w:rPr>
        <w:t xml:space="preserve">diethyl ether </w:t>
      </w:r>
      <w:r w:rsidRPr="00774579">
        <w:rPr>
          <w:noProof/>
        </w:rPr>
        <w:t>washes</w:t>
      </w:r>
      <w:r w:rsidR="00B868CA" w:rsidRPr="00774579">
        <w:rPr>
          <w:noProof/>
        </w:rPr>
        <w:t xml:space="preserve">, </w:t>
      </w:r>
      <w:r w:rsidR="00381409" w:rsidRPr="00774579">
        <w:rPr>
          <w:noProof/>
        </w:rPr>
        <w:t>it</w:t>
      </w:r>
      <w:r w:rsidR="00B868CA" w:rsidRPr="00774579">
        <w:rPr>
          <w:noProof/>
        </w:rPr>
        <w:t xml:space="preserve"> resulted in</w:t>
      </w:r>
      <w:r w:rsidRPr="00774579">
        <w:rPr>
          <w:noProof/>
        </w:rPr>
        <w:t xml:space="preserve"> </w:t>
      </w:r>
      <w:r w:rsidR="000A43D3">
        <w:rPr>
          <w:noProof/>
        </w:rPr>
        <w:t>significant</w:t>
      </w:r>
      <w:r w:rsidR="00C305B9">
        <w:rPr>
          <w:noProof/>
        </w:rPr>
        <w:t xml:space="preserve"> pro</w:t>
      </w:r>
      <w:r w:rsidR="00CB7FE9">
        <w:rPr>
          <w:noProof/>
        </w:rPr>
        <w:t>d</w:t>
      </w:r>
      <w:r w:rsidR="00C305B9">
        <w:rPr>
          <w:noProof/>
        </w:rPr>
        <w:t xml:space="preserve">uct </w:t>
      </w:r>
      <w:r>
        <w:rPr>
          <w:noProof/>
        </w:rPr>
        <w:t xml:space="preserve">losses </w:t>
      </w:r>
      <w:r w:rsidR="00C305B9">
        <w:rPr>
          <w:noProof/>
        </w:rPr>
        <w:t>to</w:t>
      </w:r>
      <w:r>
        <w:rPr>
          <w:noProof/>
        </w:rPr>
        <w:t xml:space="preserve"> the organic layer</w:t>
      </w:r>
      <w:r w:rsidR="00C305B9">
        <w:rPr>
          <w:noProof/>
        </w:rPr>
        <w:t xml:space="preserve"> </w:t>
      </w:r>
      <w:r w:rsidR="00CA4E34">
        <w:rPr>
          <w:noProof/>
        </w:rPr>
        <w:t>for the most lipoph</w:t>
      </w:r>
      <w:r w:rsidR="00375854">
        <w:rPr>
          <w:noProof/>
        </w:rPr>
        <w:t>i</w:t>
      </w:r>
      <w:r w:rsidR="00CA4E34">
        <w:rPr>
          <w:noProof/>
        </w:rPr>
        <w:t xml:space="preserve">lic imidazolium salts </w:t>
      </w:r>
      <w:r w:rsidR="00C305B9">
        <w:rPr>
          <w:noProof/>
        </w:rPr>
        <w:t xml:space="preserve">(determined via </w:t>
      </w:r>
      <w:r w:rsidR="00563B02" w:rsidRPr="00563B02">
        <w:rPr>
          <w:noProof/>
        </w:rPr>
        <w:t xml:space="preserve">¹H </w:t>
      </w:r>
      <w:r w:rsidR="00C305B9">
        <w:rPr>
          <w:noProof/>
        </w:rPr>
        <w:t>NMR analysis</w:t>
      </w:r>
      <w:r>
        <w:rPr>
          <w:noProof/>
        </w:rPr>
        <w:t xml:space="preserve">). </w:t>
      </w:r>
      <w:r w:rsidR="00CB7FE9">
        <w:rPr>
          <w:noProof/>
        </w:rPr>
        <w:t>A</w:t>
      </w:r>
      <w:r>
        <w:rPr>
          <w:noProof/>
        </w:rPr>
        <w:t xml:space="preserve"> solvent system </w:t>
      </w:r>
      <w:r w:rsidR="00C305B9">
        <w:rPr>
          <w:noProof/>
        </w:rPr>
        <w:t>capable to isolate</w:t>
      </w:r>
      <w:r>
        <w:rPr>
          <w:noProof/>
        </w:rPr>
        <w:t xml:space="preserve"> these less polar derivatives</w:t>
      </w:r>
      <w:r w:rsidR="00C305B9">
        <w:rPr>
          <w:noProof/>
        </w:rPr>
        <w:t xml:space="preserve"> was </w:t>
      </w:r>
      <w:r w:rsidR="00CB7FE9">
        <w:rPr>
          <w:noProof/>
        </w:rPr>
        <w:t xml:space="preserve">therefore </w:t>
      </w:r>
      <w:r w:rsidR="000C4FA6">
        <w:rPr>
          <w:noProof/>
        </w:rPr>
        <w:t>investigated</w:t>
      </w:r>
      <w:r>
        <w:rPr>
          <w:noProof/>
        </w:rPr>
        <w:t>. In order to increase the selectivity</w:t>
      </w:r>
      <w:r w:rsidR="00C21D02">
        <w:rPr>
          <w:noProof/>
        </w:rPr>
        <w:t xml:space="preserve"> towards the impurities</w:t>
      </w:r>
      <w:r w:rsidR="00C305B9">
        <w:rPr>
          <w:noProof/>
        </w:rPr>
        <w:t>,</w:t>
      </w:r>
      <w:r>
        <w:rPr>
          <w:noProof/>
        </w:rPr>
        <w:t xml:space="preserve"> d</w:t>
      </w:r>
      <w:r w:rsidR="00722E0C">
        <w:rPr>
          <w:noProof/>
        </w:rPr>
        <w:t>i</w:t>
      </w:r>
      <w:r>
        <w:rPr>
          <w:noProof/>
        </w:rPr>
        <w:t>ethylether was substituted with petroleum ether</w:t>
      </w:r>
      <w:r w:rsidR="00C53821">
        <w:rPr>
          <w:noProof/>
        </w:rPr>
        <w:t xml:space="preserve"> (b.p. 40-65 </w:t>
      </w:r>
      <w:r w:rsidR="00C53821">
        <w:rPr>
          <w:rFonts w:cstheme="minorHAnsi"/>
          <w:noProof/>
        </w:rPr>
        <w:t>°</w:t>
      </w:r>
      <w:r w:rsidR="00C53821">
        <w:rPr>
          <w:noProof/>
        </w:rPr>
        <w:t>C)</w:t>
      </w:r>
      <w:r w:rsidR="00113009">
        <w:rPr>
          <w:noProof/>
        </w:rPr>
        <w:t>,</w:t>
      </w:r>
      <w:r>
        <w:rPr>
          <w:noProof/>
        </w:rPr>
        <w:t xml:space="preserve"> </w:t>
      </w:r>
      <w:r w:rsidR="00C21D02">
        <w:rPr>
          <w:noProof/>
        </w:rPr>
        <w:t xml:space="preserve">which </w:t>
      </w:r>
      <w:r w:rsidR="00880050">
        <w:rPr>
          <w:noProof/>
        </w:rPr>
        <w:t>has a</w:t>
      </w:r>
      <w:r>
        <w:rPr>
          <w:noProof/>
        </w:rPr>
        <w:t xml:space="preserve"> lower polarity</w:t>
      </w:r>
      <w:r w:rsidR="00563B02">
        <w:rPr>
          <w:noProof/>
        </w:rPr>
        <w:t xml:space="preserve"> and </w:t>
      </w:r>
      <w:r w:rsidR="00CB7FE9">
        <w:rPr>
          <w:noProof/>
        </w:rPr>
        <w:t xml:space="preserve">a lower </w:t>
      </w:r>
      <w:r w:rsidR="00563B02">
        <w:rPr>
          <w:noProof/>
        </w:rPr>
        <w:t xml:space="preserve">miscibility </w:t>
      </w:r>
      <w:r w:rsidR="00CA4E34">
        <w:rPr>
          <w:noProof/>
        </w:rPr>
        <w:t>with</w:t>
      </w:r>
      <w:r w:rsidR="00563B02">
        <w:rPr>
          <w:noProof/>
        </w:rPr>
        <w:t xml:space="preserve"> other organic solvents</w:t>
      </w:r>
      <w:r>
        <w:rPr>
          <w:noProof/>
        </w:rPr>
        <w:t>.</w:t>
      </w:r>
      <w:r w:rsidR="00D15268" w:rsidRPr="00D15268">
        <w:rPr>
          <w:rStyle w:val="FootnoteReference"/>
          <w:noProof/>
        </w:rPr>
        <w:t xml:space="preserve"> </w:t>
      </w:r>
      <w:r w:rsidR="00D15268">
        <w:rPr>
          <w:rStyle w:val="FootnoteReference"/>
          <w:noProof/>
        </w:rPr>
        <w:fldChar w:fldCharType="begin" w:fldLock="1"/>
      </w:r>
      <w:r w:rsidR="00CF3D89">
        <w:rPr>
          <w:noProof/>
        </w:rPr>
        <w:instrText>ADDIN CSL_CITATION {"citationItems":[{"id":"ITEM-1","itemData":{"DOI":"10.1002/9783527632220.app1","ISBN":"9783527632220","abstract":"This appendix contains sections titled: * Physical Properties * Purification of Organic Solvents * Spectroscopic Solvents * Solvents as Reaction Media * Solvents for Recrystallization * Solvents for Extraction and Partitioning (Distribution) * Solvents for Adsorption Chromatography * Solvents for Acid/Base Titrations in Non-Aqueous Media * Solvents for Electrochemistry * Toxicity of Organic Solvents","author":[{"dropping-particle":"","family":"Reichardt","given":"Christian","non-dropping-particle":"","parse-names":false,"suffix":""},{"dropping-particle":"","family":"Welton","given":"Thomas","non-dropping-particle":"","parse-names":false,"suffix":""}],"container-title":"Solvents and Solvent Effects in Organic Chemistry","editor":[{"dropping-particle":"","family":"Reichardt","given":"Christian","non-dropping-particle":"","parse-names":false,"suffix":""},{"dropping-particle":"","family":"Welton","given":"Thomas","non-dropping-particle":"","parse-names":false,"suffix":""}],"id":"ITEM-1","issued":{"date-parts":[["2010"]]},"page":"549-586","publisher":"Wiley-VCH Verlag GmbH &amp; Co. KGaA","publisher-place":"Weinheim, Germany","title":"Appendix A. Properties, Purification, and Use of Organic Solvents","type":"chapter"},"uris":["http://www.mendeley.com/documents/?uuid=6426ffe2-ae67-440a-81ad-dfe55abac65b"]}],"mendeley":{"formattedCitation":"&lt;sup&gt;35&lt;/sup&gt;","plainTextFormattedCitation":"35","previouslyFormattedCitation":"&lt;sup&gt;35&lt;/sup&gt;"},"properties":{"noteIndex":0},"schema":"https://github.com/citation-style-language/schema/raw/master/csl-citation.json"}</w:instrText>
      </w:r>
      <w:r w:rsidR="00D15268">
        <w:rPr>
          <w:rStyle w:val="FootnoteReference"/>
          <w:noProof/>
        </w:rPr>
        <w:fldChar w:fldCharType="separate"/>
      </w:r>
      <w:r w:rsidR="00D15268" w:rsidRPr="00F07618">
        <w:rPr>
          <w:noProof/>
          <w:vertAlign w:val="superscript"/>
        </w:rPr>
        <w:t>35</w:t>
      </w:r>
      <w:r w:rsidR="00D15268">
        <w:rPr>
          <w:rStyle w:val="FootnoteReference"/>
          <w:noProof/>
        </w:rPr>
        <w:fldChar w:fldCharType="end"/>
      </w:r>
      <w:r w:rsidR="00576690">
        <w:rPr>
          <w:noProof/>
        </w:rPr>
        <w:t xml:space="preserve"> </w:t>
      </w:r>
      <w:r w:rsidR="00CA4E34">
        <w:rPr>
          <w:noProof/>
        </w:rPr>
        <w:t xml:space="preserve">The crude </w:t>
      </w:r>
      <w:r w:rsidR="00375854">
        <w:rPr>
          <w:noProof/>
        </w:rPr>
        <w:t xml:space="preserve">reaction mixture </w:t>
      </w:r>
      <w:r w:rsidR="00CA4E34">
        <w:rPr>
          <w:noProof/>
        </w:rPr>
        <w:t>was</w:t>
      </w:r>
      <w:r w:rsidR="00381409">
        <w:rPr>
          <w:noProof/>
        </w:rPr>
        <w:t xml:space="preserve"> fully</w:t>
      </w:r>
      <w:r w:rsidR="00CA4E34">
        <w:rPr>
          <w:noProof/>
        </w:rPr>
        <w:t xml:space="preserve"> soluble i</w:t>
      </w:r>
      <w:r w:rsidR="00576690">
        <w:rPr>
          <w:noProof/>
        </w:rPr>
        <w:t xml:space="preserve">n </w:t>
      </w:r>
      <w:r w:rsidR="00CB7FE9">
        <w:rPr>
          <w:noProof/>
        </w:rPr>
        <w:t>petrolum ether</w:t>
      </w:r>
      <w:r w:rsidR="0057585D">
        <w:rPr>
          <w:noProof/>
        </w:rPr>
        <w:t>;</w:t>
      </w:r>
      <w:r w:rsidR="00C305B9">
        <w:rPr>
          <w:noProof/>
        </w:rPr>
        <w:t xml:space="preserve"> </w:t>
      </w:r>
      <w:r w:rsidR="00AB4883">
        <w:rPr>
          <w:noProof/>
        </w:rPr>
        <w:t>therefore</w:t>
      </w:r>
      <w:r w:rsidR="0057585D">
        <w:rPr>
          <w:noProof/>
        </w:rPr>
        <w:t>,</w:t>
      </w:r>
      <w:r w:rsidR="00576690">
        <w:rPr>
          <w:noProof/>
        </w:rPr>
        <w:t xml:space="preserve"> </w:t>
      </w:r>
      <w:r w:rsidR="00B868CA">
        <w:rPr>
          <w:noProof/>
        </w:rPr>
        <w:t>a second</w:t>
      </w:r>
      <w:r w:rsidR="00576690">
        <w:rPr>
          <w:noProof/>
        </w:rPr>
        <w:t xml:space="preserve"> solvent was </w:t>
      </w:r>
      <w:r w:rsidR="000C4FA6">
        <w:rPr>
          <w:noProof/>
        </w:rPr>
        <w:t>required</w:t>
      </w:r>
      <w:r w:rsidR="00576690">
        <w:rPr>
          <w:noProof/>
        </w:rPr>
        <w:t xml:space="preserve"> to </w:t>
      </w:r>
      <w:r w:rsidR="00B868CA">
        <w:rPr>
          <w:noProof/>
        </w:rPr>
        <w:t xml:space="preserve">selectively </w:t>
      </w:r>
      <w:r w:rsidR="00722E0C">
        <w:rPr>
          <w:noProof/>
        </w:rPr>
        <w:t>partition</w:t>
      </w:r>
      <w:r w:rsidR="00C305B9">
        <w:rPr>
          <w:noProof/>
        </w:rPr>
        <w:t xml:space="preserve"> </w:t>
      </w:r>
      <w:r w:rsidR="006B7F9A">
        <w:rPr>
          <w:noProof/>
        </w:rPr>
        <w:t>the product</w:t>
      </w:r>
      <w:r w:rsidR="000C4FA6">
        <w:rPr>
          <w:noProof/>
        </w:rPr>
        <w:t>.</w:t>
      </w:r>
      <w:r w:rsidR="00AC7C93">
        <w:rPr>
          <w:noProof/>
        </w:rPr>
        <w:t xml:space="preserve"> </w:t>
      </w:r>
      <w:r w:rsidR="000C4FA6">
        <w:rPr>
          <w:noProof/>
        </w:rPr>
        <w:t xml:space="preserve">Unfortunately, </w:t>
      </w:r>
      <w:r w:rsidR="00C53821">
        <w:rPr>
          <w:noProof/>
        </w:rPr>
        <w:t xml:space="preserve">there are only </w:t>
      </w:r>
      <w:r w:rsidR="00C53821">
        <w:rPr>
          <w:noProof/>
        </w:rPr>
        <w:lastRenderedPageBreak/>
        <w:t xml:space="preserve">a few </w:t>
      </w:r>
      <w:r w:rsidR="00AC7C93">
        <w:rPr>
          <w:noProof/>
        </w:rPr>
        <w:t xml:space="preserve">organic-organic immiscible solvent </w:t>
      </w:r>
      <w:r w:rsidR="0057585D">
        <w:rPr>
          <w:noProof/>
        </w:rPr>
        <w:t>mixtures</w:t>
      </w:r>
      <w:r w:rsidR="00AC7C93">
        <w:rPr>
          <w:noProof/>
        </w:rPr>
        <w:t>.</w:t>
      </w:r>
      <w:r w:rsidR="00C53821">
        <w:rPr>
          <w:noProof/>
        </w:rPr>
        <w:fldChar w:fldCharType="begin" w:fldLock="1"/>
      </w:r>
      <w:r w:rsidR="00AB19EC">
        <w:rPr>
          <w:noProof/>
        </w:rPr>
        <w:instrText>ADDIN CSL_CITATION {"citationItems":[{"id":"ITEM-1","itemData":{"DOI":"10.1021/ie50600a039","ISBN":"0019-7866","ISSN":"0019-7866","abstract":"In these 1600 observations of miscibility may lie the key to a multitude of industrial problems, particularly in solvent extraction.","author":[{"dropping-particle":"","family":"Jackson","given":"W M","non-dropping-particle":"","parse-names":false,"suffix":""},{"dropping-particle":"","family":"Drury","given":"J S","non-dropping-particle":"","parse-names":false,"suffix":""}],"container-title":"Industrial and Engineering Chemistry","id":"ITEM-1","issue":"12","issued":{"date-parts":[["1959"]]},"page":"1491-1493","title":"Miscibility of Organic Solvent Pairs","type":"article-journal","volume":"51"},"uris":["http://www.mendeley.com/documents/?uuid=ee5797e4-e718-4245-8fae-c5609dec9997"]}],"mendeley":{"formattedCitation":"&lt;sup&gt;36&lt;/sup&gt;","plainTextFormattedCitation":"36","previouslyFormattedCitation":"&lt;sup&gt;36&lt;/sup&gt;"},"properties":{"noteIndex":0},"schema":"https://github.com/citation-style-language/schema/raw/master/csl-citation.json"}</w:instrText>
      </w:r>
      <w:r w:rsidR="00C53821">
        <w:rPr>
          <w:noProof/>
        </w:rPr>
        <w:fldChar w:fldCharType="separate"/>
      </w:r>
      <w:r w:rsidR="00AB19EC" w:rsidRPr="00AB19EC">
        <w:rPr>
          <w:noProof/>
          <w:vertAlign w:val="superscript"/>
        </w:rPr>
        <w:t>36</w:t>
      </w:r>
      <w:r w:rsidR="00C53821">
        <w:rPr>
          <w:noProof/>
        </w:rPr>
        <w:fldChar w:fldCharType="end"/>
      </w:r>
      <w:r w:rsidR="00AC7C93">
        <w:rPr>
          <w:noProof/>
        </w:rPr>
        <w:t xml:space="preserve"> </w:t>
      </w:r>
      <w:r w:rsidR="00576690">
        <w:rPr>
          <w:noProof/>
        </w:rPr>
        <w:t>Methanol</w:t>
      </w:r>
      <w:r w:rsidR="00722E0C">
        <w:rPr>
          <w:noProof/>
        </w:rPr>
        <w:t xml:space="preserve"> does </w:t>
      </w:r>
      <w:r w:rsidR="00C53821">
        <w:rPr>
          <w:noProof/>
        </w:rPr>
        <w:t xml:space="preserve">form </w:t>
      </w:r>
      <w:r w:rsidR="00722E0C">
        <w:rPr>
          <w:noProof/>
        </w:rPr>
        <w:t>a biphasic system with alkanes</w:t>
      </w:r>
      <w:r w:rsidR="00B868CA" w:rsidRPr="00B868CA">
        <w:rPr>
          <w:noProof/>
        </w:rPr>
        <w:t xml:space="preserve"> </w:t>
      </w:r>
      <w:r w:rsidR="00B868CA">
        <w:rPr>
          <w:noProof/>
        </w:rPr>
        <w:t xml:space="preserve">and </w:t>
      </w:r>
      <w:r w:rsidR="00880050">
        <w:rPr>
          <w:noProof/>
        </w:rPr>
        <w:t xml:space="preserve">it </w:t>
      </w:r>
      <w:r w:rsidR="00B868CA">
        <w:rPr>
          <w:noProof/>
        </w:rPr>
        <w:t>is a fairly green solvent;</w:t>
      </w:r>
      <w:r w:rsidR="0008129F">
        <w:rPr>
          <w:noProof/>
        </w:rPr>
        <w:t xml:space="preserve"> </w:t>
      </w:r>
      <w:r w:rsidR="00AB4883">
        <w:rPr>
          <w:noProof/>
        </w:rPr>
        <w:t>hence</w:t>
      </w:r>
      <w:r w:rsidR="0008129F">
        <w:rPr>
          <w:noProof/>
        </w:rPr>
        <w:t>,</w:t>
      </w:r>
      <w:r w:rsidR="00722E0C">
        <w:rPr>
          <w:noProof/>
        </w:rPr>
        <w:t xml:space="preserve"> </w:t>
      </w:r>
      <w:r w:rsidR="00C305B9">
        <w:rPr>
          <w:noProof/>
        </w:rPr>
        <w:t xml:space="preserve">it </w:t>
      </w:r>
      <w:r w:rsidR="00576690">
        <w:rPr>
          <w:noProof/>
        </w:rPr>
        <w:t xml:space="preserve">was </w:t>
      </w:r>
      <w:r w:rsidR="00C305B9">
        <w:rPr>
          <w:noProof/>
        </w:rPr>
        <w:t xml:space="preserve">firstly </w:t>
      </w:r>
      <w:r w:rsidR="00576690">
        <w:rPr>
          <w:noProof/>
        </w:rPr>
        <w:t xml:space="preserve">tested to attempt </w:t>
      </w:r>
      <w:r w:rsidR="00CA4E34">
        <w:rPr>
          <w:noProof/>
        </w:rPr>
        <w:t>this</w:t>
      </w:r>
      <w:r w:rsidR="00576690">
        <w:rPr>
          <w:noProof/>
        </w:rPr>
        <w:t xml:space="preserve"> separation. After </w:t>
      </w:r>
      <w:r w:rsidR="00C53821">
        <w:rPr>
          <w:noProof/>
        </w:rPr>
        <w:t xml:space="preserve">a </w:t>
      </w:r>
      <w:r w:rsidR="00576690">
        <w:rPr>
          <w:noProof/>
        </w:rPr>
        <w:t>few wash</w:t>
      </w:r>
      <w:r w:rsidR="00C53821">
        <w:rPr>
          <w:noProof/>
        </w:rPr>
        <w:t>ing steps</w:t>
      </w:r>
      <w:r w:rsidR="00576690">
        <w:rPr>
          <w:noProof/>
        </w:rPr>
        <w:t xml:space="preserve">, the methanol layer held the product in a relatively higher purity. </w:t>
      </w:r>
      <w:r w:rsidR="00740D37">
        <w:rPr>
          <w:noProof/>
        </w:rPr>
        <w:t>However</w:t>
      </w:r>
      <w:r w:rsidR="00576690">
        <w:rPr>
          <w:noProof/>
        </w:rPr>
        <w:t xml:space="preserve">, </w:t>
      </w:r>
      <w:r w:rsidR="00CA4E34">
        <w:rPr>
          <w:noProof/>
        </w:rPr>
        <w:t>in order to observe a phase separation</w:t>
      </w:r>
      <w:r w:rsidR="00A3541D">
        <w:rPr>
          <w:noProof/>
        </w:rPr>
        <w:t>,</w:t>
      </w:r>
      <w:r w:rsidR="00CA4E34">
        <w:rPr>
          <w:noProof/>
        </w:rPr>
        <w:t xml:space="preserve"> </w:t>
      </w:r>
      <w:r w:rsidR="00576690">
        <w:rPr>
          <w:noProof/>
        </w:rPr>
        <w:t xml:space="preserve">methanol had to be used in </w:t>
      </w:r>
      <w:r w:rsidR="00740D37">
        <w:rPr>
          <w:noProof/>
        </w:rPr>
        <w:t>large</w:t>
      </w:r>
      <w:r w:rsidR="00576690">
        <w:rPr>
          <w:noProof/>
        </w:rPr>
        <w:t xml:space="preserve"> excess with respect to petroleum ether </w:t>
      </w:r>
      <w:r w:rsidR="00722E0C">
        <w:rPr>
          <w:noProof/>
        </w:rPr>
        <w:t>and</w:t>
      </w:r>
      <w:r w:rsidR="00576690">
        <w:rPr>
          <w:noProof/>
        </w:rPr>
        <w:t xml:space="preserve"> </w:t>
      </w:r>
      <w:r w:rsidR="00C53821">
        <w:rPr>
          <w:noProof/>
        </w:rPr>
        <w:t>significant</w:t>
      </w:r>
      <w:r w:rsidR="0008129F">
        <w:rPr>
          <w:noProof/>
        </w:rPr>
        <w:t xml:space="preserve"> </w:t>
      </w:r>
      <w:r w:rsidR="00C305B9">
        <w:rPr>
          <w:noProof/>
        </w:rPr>
        <w:t xml:space="preserve">product </w:t>
      </w:r>
      <w:r w:rsidR="00576690">
        <w:rPr>
          <w:noProof/>
        </w:rPr>
        <w:t xml:space="preserve">losses were observed </w:t>
      </w:r>
      <w:r w:rsidR="00C305B9">
        <w:rPr>
          <w:noProof/>
        </w:rPr>
        <w:t>to</w:t>
      </w:r>
      <w:r w:rsidR="00576690">
        <w:rPr>
          <w:noProof/>
        </w:rPr>
        <w:t xml:space="preserve"> the petroleum ether </w:t>
      </w:r>
      <w:r w:rsidR="00C305B9">
        <w:rPr>
          <w:noProof/>
        </w:rPr>
        <w:t>layer</w:t>
      </w:r>
      <w:r w:rsidR="00576690">
        <w:rPr>
          <w:noProof/>
        </w:rPr>
        <w:t>. Using high</w:t>
      </w:r>
      <w:r w:rsidR="00995927">
        <w:rPr>
          <w:noProof/>
        </w:rPr>
        <w:t>er</w:t>
      </w:r>
      <w:r w:rsidR="00576690">
        <w:rPr>
          <w:noProof/>
        </w:rPr>
        <w:t xml:space="preserve"> al</w:t>
      </w:r>
      <w:r w:rsidR="00AC7C93">
        <w:rPr>
          <w:noProof/>
        </w:rPr>
        <w:t>k</w:t>
      </w:r>
      <w:r w:rsidR="00576690">
        <w:rPr>
          <w:noProof/>
        </w:rPr>
        <w:t xml:space="preserve">anes, </w:t>
      </w:r>
      <w:r w:rsidR="00CA4E34">
        <w:rPr>
          <w:noProof/>
        </w:rPr>
        <w:t>the product losses to the alkane layer were limited</w:t>
      </w:r>
      <w:r w:rsidR="00576690">
        <w:rPr>
          <w:noProof/>
        </w:rPr>
        <w:t xml:space="preserve"> but </w:t>
      </w:r>
      <w:r w:rsidR="00CA4E34">
        <w:rPr>
          <w:noProof/>
        </w:rPr>
        <w:t xml:space="preserve">traces of </w:t>
      </w:r>
      <w:r w:rsidR="0008129F">
        <w:rPr>
          <w:noProof/>
        </w:rPr>
        <w:t xml:space="preserve">high weight </w:t>
      </w:r>
      <w:r w:rsidR="00740D37">
        <w:rPr>
          <w:noProof/>
        </w:rPr>
        <w:t>alkane</w:t>
      </w:r>
      <w:r w:rsidR="00880050">
        <w:rPr>
          <w:noProof/>
        </w:rPr>
        <w:t>s</w:t>
      </w:r>
      <w:r w:rsidR="00740D37">
        <w:rPr>
          <w:noProof/>
        </w:rPr>
        <w:t xml:space="preserve"> </w:t>
      </w:r>
      <w:r w:rsidR="001442CA">
        <w:rPr>
          <w:noProof/>
        </w:rPr>
        <w:t xml:space="preserve">impeded </w:t>
      </w:r>
      <w:r w:rsidR="00880050">
        <w:rPr>
          <w:noProof/>
        </w:rPr>
        <w:t xml:space="preserve">the </w:t>
      </w:r>
      <w:r w:rsidR="00B868CA">
        <w:rPr>
          <w:noProof/>
        </w:rPr>
        <w:t>product</w:t>
      </w:r>
      <w:r w:rsidR="001442CA">
        <w:rPr>
          <w:noProof/>
        </w:rPr>
        <w:t xml:space="preserve"> isolation</w:t>
      </w:r>
      <w:r w:rsidR="0008129F">
        <w:rPr>
          <w:noProof/>
        </w:rPr>
        <w:t>.</w:t>
      </w:r>
      <w:r w:rsidR="00576690">
        <w:rPr>
          <w:noProof/>
        </w:rPr>
        <w:t xml:space="preserve"> </w:t>
      </w:r>
      <w:r w:rsidR="001442CA">
        <w:rPr>
          <w:noProof/>
        </w:rPr>
        <w:t>To counteract this issue</w:t>
      </w:r>
      <w:r w:rsidR="00C305B9">
        <w:rPr>
          <w:noProof/>
        </w:rPr>
        <w:t xml:space="preserve">, </w:t>
      </w:r>
      <w:r w:rsidR="0008129F">
        <w:rPr>
          <w:noProof/>
        </w:rPr>
        <w:t>another</w:t>
      </w:r>
      <w:r w:rsidR="00576690">
        <w:rPr>
          <w:noProof/>
        </w:rPr>
        <w:t xml:space="preserve"> </w:t>
      </w:r>
      <w:r w:rsidR="00E00EC4">
        <w:rPr>
          <w:noProof/>
        </w:rPr>
        <w:t xml:space="preserve">purification procedure </w:t>
      </w:r>
      <w:r w:rsidR="00B868CA">
        <w:rPr>
          <w:noProof/>
        </w:rPr>
        <w:t>was tested</w:t>
      </w:r>
      <w:r w:rsidR="00576690">
        <w:rPr>
          <w:noProof/>
        </w:rPr>
        <w:t xml:space="preserve">. Acetonitrile used in combination with petroleum ether </w:t>
      </w:r>
      <w:r w:rsidR="00B868CA">
        <w:rPr>
          <w:noProof/>
        </w:rPr>
        <w:t xml:space="preserve">allowed </w:t>
      </w:r>
      <w:r w:rsidR="00866EE0">
        <w:rPr>
          <w:noProof/>
        </w:rPr>
        <w:t xml:space="preserve">for </w:t>
      </w:r>
      <w:r w:rsidR="00576690">
        <w:rPr>
          <w:noProof/>
        </w:rPr>
        <w:t xml:space="preserve">the </w:t>
      </w:r>
      <w:r w:rsidR="00AC7C93">
        <w:rPr>
          <w:noProof/>
        </w:rPr>
        <w:t>compound</w:t>
      </w:r>
      <w:r w:rsidR="00866EE0" w:rsidRPr="00866EE0">
        <w:rPr>
          <w:noProof/>
        </w:rPr>
        <w:t xml:space="preserve"> </w:t>
      </w:r>
      <w:r w:rsidR="00866EE0">
        <w:rPr>
          <w:noProof/>
        </w:rPr>
        <w:t>isolation</w:t>
      </w:r>
      <w:r w:rsidR="00C305B9">
        <w:rPr>
          <w:noProof/>
        </w:rPr>
        <w:t xml:space="preserve">. This procedure was </w:t>
      </w:r>
      <w:r w:rsidR="00AC7C93">
        <w:rPr>
          <w:noProof/>
        </w:rPr>
        <w:t>rather</w:t>
      </w:r>
      <w:r w:rsidR="00C305B9">
        <w:rPr>
          <w:noProof/>
        </w:rPr>
        <w:t xml:space="preserve"> effective but traces of acetonitrile </w:t>
      </w:r>
      <w:r w:rsidR="00AC7C93">
        <w:rPr>
          <w:noProof/>
        </w:rPr>
        <w:t xml:space="preserve">and acetic acid </w:t>
      </w:r>
      <w:r w:rsidR="00C305B9">
        <w:rPr>
          <w:noProof/>
        </w:rPr>
        <w:t xml:space="preserve">were </w:t>
      </w:r>
      <w:r w:rsidR="00866EE0">
        <w:rPr>
          <w:noProof/>
        </w:rPr>
        <w:t>trapped</w:t>
      </w:r>
      <w:r w:rsidR="00563B02">
        <w:rPr>
          <w:noProof/>
        </w:rPr>
        <w:t xml:space="preserve"> in the </w:t>
      </w:r>
      <w:r w:rsidR="00995927">
        <w:rPr>
          <w:noProof/>
        </w:rPr>
        <w:t xml:space="preserve">isolated </w:t>
      </w:r>
      <w:r w:rsidR="00563B02">
        <w:rPr>
          <w:noProof/>
        </w:rPr>
        <w:t xml:space="preserve">product (the impurities were </w:t>
      </w:r>
      <w:r w:rsidR="00AC7C93">
        <w:rPr>
          <w:noProof/>
        </w:rPr>
        <w:t xml:space="preserve">detected </w:t>
      </w:r>
      <w:r w:rsidR="00563B02">
        <w:rPr>
          <w:noProof/>
        </w:rPr>
        <w:t xml:space="preserve">via </w:t>
      </w:r>
      <w:r w:rsidR="00995927">
        <w:rPr>
          <w:noProof/>
        </w:rPr>
        <w:t>the</w:t>
      </w:r>
      <w:r w:rsidR="00563B02">
        <w:rPr>
          <w:noProof/>
        </w:rPr>
        <w:t xml:space="preserve"> </w:t>
      </w:r>
      <w:r w:rsidR="00563B02" w:rsidRPr="00407264">
        <w:t>¹H</w:t>
      </w:r>
      <w:r w:rsidR="00563B02">
        <w:rPr>
          <w:noProof/>
        </w:rPr>
        <w:t xml:space="preserve"> NMR spectra </w:t>
      </w:r>
      <w:r w:rsidR="00C305B9">
        <w:rPr>
          <w:noProof/>
        </w:rPr>
        <w:t xml:space="preserve">and </w:t>
      </w:r>
      <w:r w:rsidR="00563B02">
        <w:rPr>
          <w:noProof/>
        </w:rPr>
        <w:t>collapsed</w:t>
      </w:r>
      <w:r w:rsidR="00AC7C93">
        <w:rPr>
          <w:noProof/>
        </w:rPr>
        <w:t xml:space="preserve"> i</w:t>
      </w:r>
      <w:r w:rsidR="00C305B9">
        <w:rPr>
          <w:noProof/>
        </w:rPr>
        <w:t xml:space="preserve">nto </w:t>
      </w:r>
      <w:r w:rsidR="00AC7C93">
        <w:rPr>
          <w:noProof/>
        </w:rPr>
        <w:t>one</w:t>
      </w:r>
      <w:r w:rsidR="00C305B9">
        <w:rPr>
          <w:noProof/>
        </w:rPr>
        <w:t xml:space="preserve"> signal in the proton spectra </w:t>
      </w:r>
      <w:r w:rsidR="00563B02">
        <w:rPr>
          <w:noProof/>
        </w:rPr>
        <w:t xml:space="preserve">at </w:t>
      </w:r>
      <w:r w:rsidR="00C305B9">
        <w:rPr>
          <w:noProof/>
        </w:rPr>
        <w:t>2.1 ppm</w:t>
      </w:r>
      <w:r w:rsidR="00563B02">
        <w:rPr>
          <w:noProof/>
        </w:rPr>
        <w:t xml:space="preserve"> in</w:t>
      </w:r>
      <w:r w:rsidR="00C305B9">
        <w:rPr>
          <w:noProof/>
        </w:rPr>
        <w:t xml:space="preserve"> deuterochloroform).</w:t>
      </w:r>
      <w:r w:rsidR="00866EE0" w:rsidRPr="00866EE0">
        <w:rPr>
          <w:noProof/>
        </w:rPr>
        <w:t xml:space="preserve"> </w:t>
      </w:r>
      <w:r w:rsidR="00866EE0">
        <w:rPr>
          <w:noProof/>
        </w:rPr>
        <w:t xml:space="preserve">Even after </w:t>
      </w:r>
      <w:r w:rsidR="00AB4883">
        <w:rPr>
          <w:noProof/>
        </w:rPr>
        <w:t xml:space="preserve">a </w:t>
      </w:r>
      <w:r w:rsidR="0088088E">
        <w:rPr>
          <w:noProof/>
        </w:rPr>
        <w:t>thorough</w:t>
      </w:r>
      <w:r w:rsidR="00AB4883">
        <w:rPr>
          <w:noProof/>
        </w:rPr>
        <w:t xml:space="preserve"> </w:t>
      </w:r>
      <w:r w:rsidR="00866EE0">
        <w:rPr>
          <w:noProof/>
        </w:rPr>
        <w:t>sample drying</w:t>
      </w:r>
      <w:r w:rsidR="00AB4883">
        <w:rPr>
          <w:noProof/>
        </w:rPr>
        <w:t>,</w:t>
      </w:r>
      <w:r w:rsidR="00866EE0">
        <w:rPr>
          <w:noProof/>
        </w:rPr>
        <w:t xml:space="preserve"> impurities were still present. </w:t>
      </w:r>
      <w:r w:rsidR="00C305B9">
        <w:rPr>
          <w:noProof/>
        </w:rPr>
        <w:t>T</w:t>
      </w:r>
      <w:r w:rsidR="001442CA">
        <w:rPr>
          <w:noProof/>
        </w:rPr>
        <w:t>o force acetoni</w:t>
      </w:r>
      <w:r w:rsidR="00A3541D">
        <w:rPr>
          <w:noProof/>
        </w:rPr>
        <w:t>y</w:t>
      </w:r>
      <w:r w:rsidR="001442CA">
        <w:rPr>
          <w:noProof/>
        </w:rPr>
        <w:t>trile removal</w:t>
      </w:r>
      <w:r w:rsidR="00C305B9">
        <w:rPr>
          <w:noProof/>
        </w:rPr>
        <w:t xml:space="preserve">, methanol </w:t>
      </w:r>
      <w:r w:rsidR="001442CA">
        <w:rPr>
          <w:noProof/>
        </w:rPr>
        <w:t xml:space="preserve">was used to form an azeotrope. Methanol </w:t>
      </w:r>
      <w:r w:rsidR="00C305B9">
        <w:rPr>
          <w:noProof/>
        </w:rPr>
        <w:t xml:space="preserve">was added and </w:t>
      </w:r>
      <w:r w:rsidR="00995927">
        <w:rPr>
          <w:noProof/>
        </w:rPr>
        <w:t xml:space="preserve">removed </w:t>
      </w:r>
      <w:r w:rsidR="00AB4883">
        <w:rPr>
          <w:noProof/>
        </w:rPr>
        <w:t xml:space="preserve">via a rotatory evaporator for </w:t>
      </w:r>
      <w:r w:rsidR="00C305B9">
        <w:rPr>
          <w:noProof/>
        </w:rPr>
        <w:t xml:space="preserve">three times </w:t>
      </w:r>
      <w:r w:rsidR="00AB4883">
        <w:rPr>
          <w:noProof/>
        </w:rPr>
        <w:t xml:space="preserve">in order </w:t>
      </w:r>
      <w:r w:rsidR="00C305B9">
        <w:rPr>
          <w:noProof/>
        </w:rPr>
        <w:t xml:space="preserve">to </w:t>
      </w:r>
      <w:r w:rsidR="0008129F">
        <w:rPr>
          <w:noProof/>
        </w:rPr>
        <w:t>force</w:t>
      </w:r>
      <w:r w:rsidR="00C305B9">
        <w:rPr>
          <w:noProof/>
        </w:rPr>
        <w:t xml:space="preserve"> </w:t>
      </w:r>
      <w:r w:rsidR="00AB4883">
        <w:rPr>
          <w:noProof/>
        </w:rPr>
        <w:t xml:space="preserve">the </w:t>
      </w:r>
      <w:r w:rsidR="00C305B9">
        <w:rPr>
          <w:noProof/>
        </w:rPr>
        <w:t xml:space="preserve">acetonitrile </w:t>
      </w:r>
      <w:r w:rsidR="00995927">
        <w:rPr>
          <w:noProof/>
        </w:rPr>
        <w:t>entrainal</w:t>
      </w:r>
      <w:r w:rsidR="00C305B9">
        <w:rPr>
          <w:noProof/>
        </w:rPr>
        <w:t xml:space="preserve">. </w:t>
      </w:r>
      <w:r w:rsidR="00A03303">
        <w:rPr>
          <w:noProof/>
        </w:rPr>
        <w:t>T</w:t>
      </w:r>
      <w:r w:rsidR="00C305B9">
        <w:rPr>
          <w:noProof/>
        </w:rPr>
        <w:t xml:space="preserve">his </w:t>
      </w:r>
      <w:r w:rsidR="0008129F">
        <w:rPr>
          <w:noProof/>
        </w:rPr>
        <w:t xml:space="preserve">procedure </w:t>
      </w:r>
      <w:r w:rsidR="00C305B9">
        <w:rPr>
          <w:noProof/>
        </w:rPr>
        <w:t xml:space="preserve">was effective </w:t>
      </w:r>
      <w:r w:rsidR="001442CA">
        <w:rPr>
          <w:noProof/>
        </w:rPr>
        <w:t xml:space="preserve">for acetonitrile </w:t>
      </w:r>
      <w:r w:rsidR="00C305B9">
        <w:rPr>
          <w:noProof/>
        </w:rPr>
        <w:t xml:space="preserve">but </w:t>
      </w:r>
      <w:r w:rsidR="0008129F">
        <w:rPr>
          <w:noProof/>
        </w:rPr>
        <w:t xml:space="preserve">did not </w:t>
      </w:r>
      <w:r w:rsidR="00C53821">
        <w:rPr>
          <w:noProof/>
        </w:rPr>
        <w:t>remove</w:t>
      </w:r>
      <w:r w:rsidR="001442CA">
        <w:rPr>
          <w:noProof/>
        </w:rPr>
        <w:t xml:space="preserve"> </w:t>
      </w:r>
      <w:r w:rsidR="0008129F">
        <w:rPr>
          <w:noProof/>
        </w:rPr>
        <w:t>the</w:t>
      </w:r>
      <w:r w:rsidR="00A03303">
        <w:rPr>
          <w:noProof/>
        </w:rPr>
        <w:t xml:space="preserve"> </w:t>
      </w:r>
      <w:r w:rsidR="0008129F">
        <w:rPr>
          <w:noProof/>
        </w:rPr>
        <w:t>excess</w:t>
      </w:r>
      <w:r w:rsidR="00AB4883">
        <w:rPr>
          <w:noProof/>
        </w:rPr>
        <w:t xml:space="preserve"> of acetic acid</w:t>
      </w:r>
      <w:r w:rsidR="001442CA">
        <w:rPr>
          <w:noProof/>
        </w:rPr>
        <w:t>.</w:t>
      </w:r>
    </w:p>
    <w:p w14:paraId="0CFFC2BF" w14:textId="7CD442A4" w:rsidR="008318AE" w:rsidRDefault="001442CA" w:rsidP="000B50FA">
      <w:pPr>
        <w:pStyle w:val="RSCB02ArticleText"/>
        <w:rPr>
          <w:noProof/>
        </w:rPr>
      </w:pPr>
      <w:r>
        <w:rPr>
          <w:noProof/>
        </w:rPr>
        <w:t>Th</w:t>
      </w:r>
      <w:r w:rsidR="00CD366A">
        <w:rPr>
          <w:noProof/>
        </w:rPr>
        <w:t xml:space="preserve">e </w:t>
      </w:r>
      <w:r w:rsidR="00C53821">
        <w:rPr>
          <w:noProof/>
        </w:rPr>
        <w:t xml:space="preserve">excess of </w:t>
      </w:r>
      <w:r w:rsidR="00CD366A">
        <w:rPr>
          <w:noProof/>
        </w:rPr>
        <w:t xml:space="preserve">acetic acid </w:t>
      </w:r>
      <w:r w:rsidR="00B868CA">
        <w:rPr>
          <w:noProof/>
        </w:rPr>
        <w:t xml:space="preserve">persisted </w:t>
      </w:r>
      <w:r w:rsidR="00A03303">
        <w:rPr>
          <w:noProof/>
        </w:rPr>
        <w:t xml:space="preserve">even after </w:t>
      </w:r>
      <w:r w:rsidR="0008129F">
        <w:rPr>
          <w:noProof/>
        </w:rPr>
        <w:t>dr</w:t>
      </w:r>
      <w:r w:rsidR="00A3541D">
        <w:rPr>
          <w:noProof/>
        </w:rPr>
        <w:t>y</w:t>
      </w:r>
      <w:r w:rsidR="0008129F">
        <w:rPr>
          <w:noProof/>
        </w:rPr>
        <w:t xml:space="preserve">ing </w:t>
      </w:r>
      <w:r w:rsidR="00563B02">
        <w:rPr>
          <w:noProof/>
        </w:rPr>
        <w:t xml:space="preserve">at </w:t>
      </w:r>
      <w:r w:rsidR="00A03303">
        <w:rPr>
          <w:noProof/>
        </w:rPr>
        <w:t xml:space="preserve">high vacuum </w:t>
      </w:r>
      <w:r w:rsidR="00740D37">
        <w:rPr>
          <w:noProof/>
        </w:rPr>
        <w:t xml:space="preserve">above the </w:t>
      </w:r>
      <w:r w:rsidR="009D133C">
        <w:rPr>
          <w:noProof/>
        </w:rPr>
        <w:t xml:space="preserve">compound </w:t>
      </w:r>
      <w:r w:rsidR="00740D37">
        <w:rPr>
          <w:noProof/>
        </w:rPr>
        <w:t>melting</w:t>
      </w:r>
      <w:r w:rsidR="00A03303">
        <w:rPr>
          <w:noProof/>
        </w:rPr>
        <w:t xml:space="preserve"> temper</w:t>
      </w:r>
      <w:r w:rsidR="0008129F">
        <w:rPr>
          <w:noProof/>
        </w:rPr>
        <w:t xml:space="preserve">ature (1 week, </w:t>
      </w:r>
      <w:r w:rsidR="00C53821">
        <w:rPr>
          <w:noProof/>
        </w:rPr>
        <w:t>&lt;</w:t>
      </w:r>
      <w:r w:rsidR="0008129F">
        <w:rPr>
          <w:noProof/>
        </w:rPr>
        <w:t>0.09 mbar).</w:t>
      </w:r>
      <w:r w:rsidR="00B80CA1" w:rsidRPr="00B80CA1">
        <w:rPr>
          <w:noProof/>
        </w:rPr>
        <w:t xml:space="preserve"> </w:t>
      </w:r>
      <w:r w:rsidR="00A3541D">
        <w:rPr>
          <w:noProof/>
        </w:rPr>
        <w:t>When dri</w:t>
      </w:r>
      <w:r w:rsidR="00B80CA1">
        <w:rPr>
          <w:noProof/>
        </w:rPr>
        <w:t xml:space="preserve">ed at the </w:t>
      </w:r>
      <w:r w:rsidR="00995927">
        <w:rPr>
          <w:noProof/>
        </w:rPr>
        <w:t>S</w:t>
      </w:r>
      <w:r w:rsidR="00B80CA1">
        <w:rPr>
          <w:noProof/>
        </w:rPr>
        <w:t xml:space="preserve">chlenk line, the </w:t>
      </w:r>
      <w:r w:rsidR="00CF27BA">
        <w:rPr>
          <w:noProof/>
        </w:rPr>
        <w:t>acetic acid got reduced to</w:t>
      </w:r>
      <w:r w:rsidR="00B80CA1">
        <w:rPr>
          <w:noProof/>
        </w:rPr>
        <w:t xml:space="preserve"> </w:t>
      </w:r>
      <w:r w:rsidR="00AB4883">
        <w:rPr>
          <w:noProof/>
        </w:rPr>
        <w:t xml:space="preserve">about </w:t>
      </w:r>
      <w:r w:rsidR="00B80CA1">
        <w:rPr>
          <w:noProof/>
        </w:rPr>
        <w:t>0.5</w:t>
      </w:r>
      <w:r w:rsidR="00C53821">
        <w:rPr>
          <w:noProof/>
        </w:rPr>
        <w:sym w:font="Symbol" w:char="F02D"/>
      </w:r>
      <w:r w:rsidR="00B80CA1">
        <w:rPr>
          <w:noProof/>
        </w:rPr>
        <w:t xml:space="preserve">1 eq. At this stage the release of acetic acid slowed down to such </w:t>
      </w:r>
      <w:r w:rsidR="00AB4883">
        <w:rPr>
          <w:noProof/>
        </w:rPr>
        <w:t xml:space="preserve">an extent </w:t>
      </w:r>
      <w:r w:rsidR="00B80CA1">
        <w:rPr>
          <w:noProof/>
        </w:rPr>
        <w:t xml:space="preserve">that </w:t>
      </w:r>
      <w:r w:rsidR="00995927">
        <w:rPr>
          <w:noProof/>
        </w:rPr>
        <w:t>further</w:t>
      </w:r>
      <w:r w:rsidR="00B80CA1">
        <w:rPr>
          <w:noProof/>
        </w:rPr>
        <w:t xml:space="preserve"> </w:t>
      </w:r>
      <w:r w:rsidR="00AB4883">
        <w:rPr>
          <w:noProof/>
        </w:rPr>
        <w:t xml:space="preserve">high vacuum </w:t>
      </w:r>
      <w:r w:rsidR="00B80CA1">
        <w:rPr>
          <w:noProof/>
        </w:rPr>
        <w:t xml:space="preserve">drying could not be performed in a reasonable amount of time. </w:t>
      </w:r>
      <w:r w:rsidR="00AB4883">
        <w:rPr>
          <w:noProof/>
        </w:rPr>
        <w:t xml:space="preserve">During </w:t>
      </w:r>
      <w:r w:rsidR="00B80CA1">
        <w:rPr>
          <w:noProof/>
        </w:rPr>
        <w:t xml:space="preserve">the drying process </w:t>
      </w:r>
      <w:r w:rsidR="00235D91">
        <w:rPr>
          <w:noProof/>
        </w:rPr>
        <w:t>1,3-</w:t>
      </w:r>
      <w:r w:rsidR="00995927">
        <w:rPr>
          <w:noProof/>
        </w:rPr>
        <w:t>d</w:t>
      </w:r>
      <w:r w:rsidR="00235D91">
        <w:rPr>
          <w:noProof/>
        </w:rPr>
        <w:t>i(d</w:t>
      </w:r>
      <w:r w:rsidR="007D782F">
        <w:rPr>
          <w:noProof/>
        </w:rPr>
        <w:t>ecyl)</w:t>
      </w:r>
      <w:r w:rsidR="00B80CA1">
        <w:rPr>
          <w:noProof/>
        </w:rPr>
        <w:t xml:space="preserve">imidazolium acetate </w:t>
      </w:r>
      <w:r w:rsidR="00F660BF">
        <w:rPr>
          <w:noProof/>
        </w:rPr>
        <w:t>solidified</w:t>
      </w:r>
      <w:r w:rsidR="00B0498B">
        <w:rPr>
          <w:noProof/>
        </w:rPr>
        <w:t xml:space="preserve"> and o</w:t>
      </w:r>
      <w:r w:rsidR="00B80CA1">
        <w:rPr>
          <w:noProof/>
        </w:rPr>
        <w:t>nly after heating the mixture</w:t>
      </w:r>
      <w:r w:rsidR="00431A4C">
        <w:rPr>
          <w:noProof/>
        </w:rPr>
        <w:t xml:space="preserve"> it</w:t>
      </w:r>
      <w:r w:rsidR="00B80CA1">
        <w:rPr>
          <w:noProof/>
        </w:rPr>
        <w:t xml:space="preserve"> </w:t>
      </w:r>
      <w:r w:rsidR="00CD366A">
        <w:rPr>
          <w:noProof/>
        </w:rPr>
        <w:t>reverted</w:t>
      </w:r>
      <w:r w:rsidR="00B80CA1">
        <w:rPr>
          <w:noProof/>
        </w:rPr>
        <w:t xml:space="preserve"> </w:t>
      </w:r>
      <w:r w:rsidR="00B0498B">
        <w:rPr>
          <w:noProof/>
        </w:rPr>
        <w:t xml:space="preserve">back </w:t>
      </w:r>
      <w:r w:rsidR="00B80CA1">
        <w:rPr>
          <w:noProof/>
        </w:rPr>
        <w:t>to a liquid state</w:t>
      </w:r>
      <w:r w:rsidR="00F674A0">
        <w:rPr>
          <w:noProof/>
        </w:rPr>
        <w:t xml:space="preserve">. </w:t>
      </w:r>
      <w:r w:rsidR="00CD366A">
        <w:rPr>
          <w:noProof/>
        </w:rPr>
        <w:t>T</w:t>
      </w:r>
      <w:r w:rsidR="00F674A0">
        <w:rPr>
          <w:noProof/>
        </w:rPr>
        <w:t xml:space="preserve">his </w:t>
      </w:r>
      <w:r w:rsidR="00CD366A">
        <w:rPr>
          <w:noProof/>
        </w:rPr>
        <w:t>was indicative</w:t>
      </w:r>
      <w:r w:rsidR="002A2FBC">
        <w:rPr>
          <w:noProof/>
        </w:rPr>
        <w:t xml:space="preserve"> of the </w:t>
      </w:r>
      <w:r w:rsidR="00AB4883">
        <w:rPr>
          <w:noProof/>
        </w:rPr>
        <w:t xml:space="preserve">stabilization </w:t>
      </w:r>
      <w:r w:rsidR="002A2FBC">
        <w:rPr>
          <w:noProof/>
        </w:rPr>
        <w:t>by the intercalation of the ace</w:t>
      </w:r>
      <w:r w:rsidR="00B80CA1">
        <w:rPr>
          <w:noProof/>
        </w:rPr>
        <w:t xml:space="preserve">tic acid in the </w:t>
      </w:r>
      <w:r w:rsidR="00AB4883">
        <w:rPr>
          <w:noProof/>
        </w:rPr>
        <w:t>ionic liquid</w:t>
      </w:r>
      <w:r w:rsidR="002A2FBC">
        <w:rPr>
          <w:noProof/>
        </w:rPr>
        <w:t xml:space="preserve"> </w:t>
      </w:r>
      <w:r w:rsidR="00B80CA1">
        <w:rPr>
          <w:noProof/>
        </w:rPr>
        <w:t>structure</w:t>
      </w:r>
      <w:r w:rsidR="00F674A0">
        <w:rPr>
          <w:noProof/>
        </w:rPr>
        <w:t>.</w:t>
      </w:r>
      <w:r w:rsidR="00B80CA1">
        <w:rPr>
          <w:noProof/>
        </w:rPr>
        <w:t xml:space="preserve"> </w:t>
      </w:r>
      <w:r w:rsidR="00F674A0">
        <w:rPr>
          <w:noProof/>
        </w:rPr>
        <w:t xml:space="preserve">This hypothesis </w:t>
      </w:r>
      <w:r w:rsidR="00CD366A">
        <w:rPr>
          <w:noProof/>
        </w:rPr>
        <w:t xml:space="preserve">was compatible with the literature </w:t>
      </w:r>
      <w:r w:rsidR="00C53821">
        <w:rPr>
          <w:noProof/>
        </w:rPr>
        <w:t xml:space="preserve">data </w:t>
      </w:r>
      <w:r w:rsidR="00CD366A">
        <w:rPr>
          <w:noProof/>
        </w:rPr>
        <w:t>available on long side-chain imidazolium salts, which reported the formation of a</w:t>
      </w:r>
      <w:r w:rsidR="0088088E">
        <w:rPr>
          <w:noProof/>
        </w:rPr>
        <w:t>n</w:t>
      </w:r>
      <w:r w:rsidR="00CD366A">
        <w:rPr>
          <w:noProof/>
        </w:rPr>
        <w:t xml:space="preserve"> </w:t>
      </w:r>
      <w:r w:rsidR="00F92DF2">
        <w:rPr>
          <w:noProof/>
        </w:rPr>
        <w:t xml:space="preserve">ionic </w:t>
      </w:r>
      <w:r w:rsidR="00CD366A">
        <w:rPr>
          <w:noProof/>
        </w:rPr>
        <w:t>liquid</w:t>
      </w:r>
      <w:r w:rsidR="001F5D13">
        <w:rPr>
          <w:noProof/>
        </w:rPr>
        <w:t xml:space="preserve"> metastable </w:t>
      </w:r>
      <w:r w:rsidR="00CD366A">
        <w:rPr>
          <w:noProof/>
        </w:rPr>
        <w:t>phase</w:t>
      </w:r>
      <w:r w:rsidR="002A2FBC">
        <w:rPr>
          <w:noProof/>
        </w:rPr>
        <w:t>,</w:t>
      </w:r>
      <w:r w:rsidR="00CD366A">
        <w:rPr>
          <w:noProof/>
        </w:rPr>
        <w:t xml:space="preserve"> </w:t>
      </w:r>
      <w:r w:rsidR="002A2FBC">
        <w:rPr>
          <w:noProof/>
        </w:rPr>
        <w:t xml:space="preserve">and </w:t>
      </w:r>
      <w:r w:rsidR="00AB4883">
        <w:rPr>
          <w:noProof/>
        </w:rPr>
        <w:t xml:space="preserve">with </w:t>
      </w:r>
      <w:r w:rsidR="002A2FBC">
        <w:rPr>
          <w:noProof/>
        </w:rPr>
        <w:t xml:space="preserve">the results of </w:t>
      </w:r>
      <w:r w:rsidR="00F674A0" w:rsidRPr="00F674A0">
        <w:rPr>
          <w:i/>
          <w:noProof/>
        </w:rPr>
        <w:t>Gurau et al.</w:t>
      </w:r>
      <w:r w:rsidR="00CD366A">
        <w:rPr>
          <w:noProof/>
        </w:rPr>
        <w:t xml:space="preserve">, which </w:t>
      </w:r>
      <w:r w:rsidR="002A2FBC">
        <w:rPr>
          <w:noProof/>
        </w:rPr>
        <w:t>experienced a strong persistency</w:t>
      </w:r>
      <w:r w:rsidR="00F92DF2">
        <w:rPr>
          <w:noProof/>
        </w:rPr>
        <w:t xml:space="preserve"> of</w:t>
      </w:r>
      <w:r w:rsidR="00CD366A">
        <w:rPr>
          <w:noProof/>
        </w:rPr>
        <w:t xml:space="preserve"> acetic acid </w:t>
      </w:r>
      <w:r w:rsidR="00F92DF2">
        <w:rPr>
          <w:noProof/>
        </w:rPr>
        <w:t xml:space="preserve">traces </w:t>
      </w:r>
      <w:r w:rsidR="00CD366A">
        <w:rPr>
          <w:noProof/>
        </w:rPr>
        <w:t>in ionic liquids</w:t>
      </w:r>
      <w:r w:rsidR="002A2FBC">
        <w:rPr>
          <w:noProof/>
        </w:rPr>
        <w:t>.</w:t>
      </w:r>
      <w:r w:rsidR="00D15268">
        <w:rPr>
          <w:rStyle w:val="FootnoteReference"/>
          <w:noProof/>
        </w:rPr>
        <w:fldChar w:fldCharType="begin" w:fldLock="1"/>
      </w:r>
      <w:r w:rsidR="00AB19EC">
        <w:rPr>
          <w:noProof/>
        </w:rPr>
        <w:instrText>ADDIN CSL_CITATION {"citationItems":[{"id":"ITEM-1","itemData":{"DOI":"10.1002/jccs.201200598","ISSN":"00094536","abstract":"The synthesis and characterization for a series of symmetrical 1, 3-dialkylimidazolium salts with different chain lengths and counter anions together with their 1-alkylimidazole precursors are described. Liquid crystal (LC) properties of these salts are studied. Images under polarizing optical microscopy show focal conic texture together with homeotropic domains. A smectic A mesophase, typical for rod-like imida-zolium salts, is assigned. Studies from powder X-ray diffraction suggest a lamellar structure with non-interdigitated monolayer arrangement for the LC salts in the mesophase. In addition, a short note on the structure and property relationship for rod-like, discor fan-like, and dendritic shaped imidazolium ionic liquid crystals (ImILCs) forming smectic, columnar, and cubic phase is briefly summarized. Acomparison of minimum alkyl chain length needed for 1-alkyl-3-methyl and symmetrical 1, 3-dialkyl ImILCs to exhibit LC behavior is addressed. © 2013 The Chemical Society Located in Taipei &amp; Wiley-VCH Verlag GmbH &amp; Co. KGaA.","author":[{"dropping-particle":"","family":"Rohini","given":"Rondla","non-dropping-particle":"","parse-names":false,"suffix":""},{"dropping-particle":"","family":"Lee","given":"Ching Kuan","non-dropping-particle":"","parse-names":false,"suffix":""},{"dropping-particle":"","family":"Lu","given":"Jung Tang","non-dropping-particle":"","parse-names":false,"suffix":""},{"dropping-particle":"","family":"Lin","given":"Ivan J.B.","non-dropping-particle":"","parse-names":false,"suffix":""}],"container-title":"Journal of the Chinese Chemical Society","id":"ITEM-1","issue":"7","issued":{"date-parts":[["2013"]]},"page":"745-754","title":"Symmetrical 1, 3-Dialkylimidazolium Based Ionic Liquid Crystals","type":"article-journal","volume":"60"},"uris":["http://www.mendeley.com/documents/?uuid=fe387d8e-0fe1-4088-a2e5-df02ed32f03a"]},{"id":"ITEM-2","itemData":{"DOI":"10.1002/anie.201105198","ISBN":"1433-7851","ISSN":"14337851","PMID":"21997796","abstract":"Real chemistry: Spectroscopic and crystallographic analyses confirm the chemical reaction of CO(2) with carbene present in 1,3-dialkylimidazolium acetate ionic liquids and the supporting role of the acetate ion. When CO(2) was bubbled through [C(2) mim][OAc], formation of the corresponding imidazolium carboxylate, [C(2) mim(+) -COO(-) ], could be observed.","author":[{"dropping-particle":"","family":"Gurau","given":"Gabriela","non-dropping-particle":"","parse-names":false,"suffix":""},{"dropping-particle":"","family":"Rodríguez","given":"Héctor","non-dropping-particle":"","parse-names":false,"suffix":""},{"dropping-particle":"","family":"Kelley","given":"Steven P.","non-dropping-particle":"","parse-names":false,"suffix":""},{"dropping-particle":"","family":"Janiczek","given":"Peter","non-dropping-particle":"","parse-names":false,"suffix":""},{"dropping-particle":"","family":"Kalb","given":"Roland S.","non-dropping-particle":"","parse-names":false,"suffix":""},{"dropping-particle":"","family":"Rogers","given":"Robin D.","non-dropping-particle":"","parse-names":false,"suffix":""}],"container-title":"Angewandte Chemie - International Edition","id":"ITEM-2","issue":"50","issued":{"date-parts":[["2011"]]},"page":"12024-12026","title":"Demonstration of chemisorption of carbon dioxide in 1,3-dialkylimidazolium acetate ionic liquids","type":"article-journal","volume":"50"},"uris":["http://www.mendeley.com/documents/?uuid=70f47bd9-c142-45b9-9722-5c037e7c9e70"]}],"mendeley":{"formattedCitation":"&lt;sup&gt;37,38&lt;/sup&gt;","plainTextFormattedCitation":"37,38","previouslyFormattedCitation":"&lt;sup&gt;37,38&lt;/sup&gt;"},"properties":{"noteIndex":0},"schema":"https://github.com/citation-style-language/schema/raw/master/csl-citation.json"}</w:instrText>
      </w:r>
      <w:r w:rsidR="00D15268">
        <w:rPr>
          <w:rStyle w:val="FootnoteReference"/>
          <w:noProof/>
        </w:rPr>
        <w:fldChar w:fldCharType="separate"/>
      </w:r>
      <w:r w:rsidR="00AB19EC" w:rsidRPr="00AB19EC">
        <w:rPr>
          <w:bCs/>
          <w:noProof/>
          <w:vertAlign w:val="superscript"/>
          <w:lang w:val="en-US"/>
        </w:rPr>
        <w:t>37,38</w:t>
      </w:r>
      <w:r w:rsidR="00D15268">
        <w:rPr>
          <w:rStyle w:val="FootnoteReference"/>
          <w:noProof/>
        </w:rPr>
        <w:fldChar w:fldCharType="end"/>
      </w:r>
    </w:p>
    <w:tbl>
      <w:tblPr>
        <w:tblStyle w:val="TableGrid"/>
        <w:tblpPr w:bottomFromText="181" w:tblpXSpec="right" w:tblpY="182"/>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9"/>
      </w:tblGrid>
      <w:tr w:rsidR="008318AE" w:rsidRPr="0099372D" w14:paraId="61771FAB" w14:textId="77777777" w:rsidTr="005217BB">
        <w:trPr>
          <w:trHeight w:val="20"/>
        </w:trPr>
        <w:tc>
          <w:tcPr>
            <w:tcW w:w="4989" w:type="dxa"/>
            <w:vAlign w:val="center"/>
          </w:tcPr>
          <w:p w14:paraId="4ADED3FB" w14:textId="77777777" w:rsidR="008318AE" w:rsidRPr="0099372D" w:rsidRDefault="008318AE" w:rsidP="005217BB">
            <w:pPr>
              <w:pStyle w:val="RSCI03FigureSchemeChartUncaptioned"/>
              <w:rPr>
                <w:noProof/>
                <w:lang w:eastAsia="fi-FI"/>
              </w:rPr>
            </w:pPr>
            <w:r>
              <w:rPr>
                <w:noProof/>
                <w:lang w:val="en-US"/>
              </w:rPr>
              <w:drawing>
                <wp:inline distT="0" distB="0" distL="0" distR="0" wp14:anchorId="1C76662E" wp14:editId="053ABDB8">
                  <wp:extent cx="3167380" cy="1167130"/>
                  <wp:effectExtent l="0" t="0" r="0" b="0"/>
                  <wp:docPr id="10" name="Picture 10" descr="IMG201912052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91205210259"/>
                          <pic:cNvPicPr>
                            <a:picLocks noChangeAspect="1" noChangeArrowheads="1"/>
                          </pic:cNvPicPr>
                        </pic:nvPicPr>
                        <pic:blipFill>
                          <a:blip r:embed="rId17" cstate="print">
                            <a:extLst>
                              <a:ext uri="{28A0092B-C50C-407E-A947-70E740481C1C}">
                                <a14:useLocalDpi xmlns:a14="http://schemas.microsoft.com/office/drawing/2010/main" val="0"/>
                              </a:ext>
                            </a:extLst>
                          </a:blip>
                          <a:srcRect t="14015" b="20256"/>
                          <a:stretch>
                            <a:fillRect/>
                          </a:stretch>
                        </pic:blipFill>
                        <pic:spPr bwMode="auto">
                          <a:xfrm>
                            <a:off x="0" y="0"/>
                            <a:ext cx="3167380" cy="1167130"/>
                          </a:xfrm>
                          <a:prstGeom prst="rect">
                            <a:avLst/>
                          </a:prstGeom>
                          <a:noFill/>
                          <a:ln>
                            <a:noFill/>
                          </a:ln>
                        </pic:spPr>
                      </pic:pic>
                    </a:graphicData>
                  </a:graphic>
                </wp:inline>
              </w:drawing>
            </w:r>
            <w:r>
              <w:rPr>
                <w:noProof/>
                <w:lang w:val="en-US"/>
              </w:rPr>
              <w:drawing>
                <wp:inline distT="0" distB="0" distL="0" distR="0" wp14:anchorId="398CE880" wp14:editId="6DC05A3A">
                  <wp:extent cx="3167380" cy="1162050"/>
                  <wp:effectExtent l="0" t="0" r="0" b="0"/>
                  <wp:docPr id="9" name="Picture 9" descr="IMG201912052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91205210414"/>
                          <pic:cNvPicPr>
                            <a:picLocks noChangeAspect="1" noChangeArrowheads="1"/>
                          </pic:cNvPicPr>
                        </pic:nvPicPr>
                        <pic:blipFill>
                          <a:blip r:embed="rId18" cstate="print">
                            <a:extLst>
                              <a:ext uri="{28A0092B-C50C-407E-A947-70E740481C1C}">
                                <a14:useLocalDpi xmlns:a14="http://schemas.microsoft.com/office/drawing/2010/main" val="0"/>
                              </a:ext>
                            </a:extLst>
                          </a:blip>
                          <a:srcRect l="1640" t="14014" r="5035" b="25679"/>
                          <a:stretch>
                            <a:fillRect/>
                          </a:stretch>
                        </pic:blipFill>
                        <pic:spPr bwMode="auto">
                          <a:xfrm>
                            <a:off x="0" y="0"/>
                            <a:ext cx="3167380" cy="1162050"/>
                          </a:xfrm>
                          <a:prstGeom prst="rect">
                            <a:avLst/>
                          </a:prstGeom>
                          <a:noFill/>
                          <a:ln>
                            <a:noFill/>
                          </a:ln>
                        </pic:spPr>
                      </pic:pic>
                    </a:graphicData>
                  </a:graphic>
                </wp:inline>
              </w:drawing>
            </w:r>
          </w:p>
        </w:tc>
      </w:tr>
      <w:tr w:rsidR="008318AE" w:rsidRPr="00B80AB8" w14:paraId="4C0CA72E" w14:textId="77777777" w:rsidTr="005217BB">
        <w:trPr>
          <w:trHeight w:val="20"/>
        </w:trPr>
        <w:tc>
          <w:tcPr>
            <w:tcW w:w="4989" w:type="dxa"/>
          </w:tcPr>
          <w:p w14:paraId="3206DB02" w14:textId="77777777" w:rsidR="008318AE" w:rsidRPr="00014275" w:rsidRDefault="008318AE" w:rsidP="005217BB">
            <w:pPr>
              <w:pStyle w:val="RSCI05CaptiontoFigureSchemeChartwithbottombar"/>
              <w:rPr>
                <w:lang w:val="en-US"/>
              </w:rPr>
            </w:pPr>
            <w:bookmarkStart w:id="16" w:name="_Ref26431213"/>
            <w:r>
              <w:t xml:space="preserve">Figure </w:t>
            </w:r>
            <w:r>
              <w:rPr>
                <w:noProof/>
              </w:rPr>
              <w:t>1</w:t>
            </w:r>
            <w:bookmarkEnd w:id="16"/>
            <w:r w:rsidRPr="005C49C3">
              <w:t xml:space="preserve">. </w:t>
            </w:r>
            <w:r>
              <w:t xml:space="preserve">Comparative picture of the samples prior (above) and after (below) the drying of the sample. From left to right: </w:t>
            </w:r>
            <w:r>
              <w:rPr>
                <w:noProof/>
              </w:rPr>
              <w:t>1,3-di(octyl)imidazolium acetate, 1,3-di(decyl)imidazolium acetate, 1,3-di(dodecyl)imidazolium acetate, 1,3-di(tetradecyl)imidazolium acetate, and 1,3-di(hexadecyl)imidazolium acetate</w:t>
            </w:r>
          </w:p>
        </w:tc>
      </w:tr>
    </w:tbl>
    <w:tbl>
      <w:tblPr>
        <w:tblStyle w:val="TableGrid"/>
        <w:tblpPr w:tblpYSpec="bottom"/>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9"/>
      </w:tblGrid>
      <w:tr w:rsidR="008318AE" w:rsidRPr="0099372D" w14:paraId="4025D443" w14:textId="77777777" w:rsidTr="005217BB">
        <w:trPr>
          <w:trHeight w:val="20"/>
        </w:trPr>
        <w:tc>
          <w:tcPr>
            <w:tcW w:w="4989" w:type="dxa"/>
          </w:tcPr>
          <w:p w14:paraId="7E027A96" w14:textId="77777777" w:rsidR="008318AE" w:rsidRPr="0099372D" w:rsidRDefault="008318AE" w:rsidP="005217BB">
            <w:pPr>
              <w:pStyle w:val="RSCT01TableTitlewithtopbar"/>
              <w:rPr>
                <w:noProof/>
              </w:rPr>
            </w:pPr>
            <w:bookmarkStart w:id="17" w:name="_Ref22138824"/>
            <w:r>
              <w:t xml:space="preserve">Table </w:t>
            </w:r>
            <w:r>
              <w:rPr>
                <w:noProof/>
              </w:rPr>
              <w:t>1</w:t>
            </w:r>
            <w:bookmarkEnd w:id="17"/>
            <w:r>
              <w:t>. Optimization tests for the synthesis of 1,3-di(dodecyl)imidazolium acetate.</w:t>
            </w:r>
          </w:p>
        </w:tc>
      </w:tr>
      <w:tr w:rsidR="008318AE" w:rsidRPr="0070029B" w14:paraId="0D0BDDA6" w14:textId="77777777" w:rsidTr="005217BB">
        <w:trPr>
          <w:trHeight w:val="20"/>
        </w:trPr>
        <w:tc>
          <w:tcPr>
            <w:tcW w:w="4989" w:type="dxa"/>
          </w:tcPr>
          <w:tbl>
            <w:tblPr>
              <w:tblW w:w="5000" w:type="pct"/>
              <w:tblCellMar>
                <w:left w:w="0" w:type="dxa"/>
                <w:right w:w="0" w:type="dxa"/>
              </w:tblCellMar>
              <w:tblLook w:val="04A0" w:firstRow="1" w:lastRow="0" w:firstColumn="1" w:lastColumn="0" w:noHBand="0" w:noVBand="1"/>
            </w:tblPr>
            <w:tblGrid>
              <w:gridCol w:w="1029"/>
              <w:gridCol w:w="1101"/>
              <w:gridCol w:w="1493"/>
              <w:gridCol w:w="1366"/>
            </w:tblGrid>
            <w:tr w:rsidR="008318AE" w:rsidRPr="007C1DCD" w14:paraId="66019358" w14:textId="77777777" w:rsidTr="005217BB">
              <w:trPr>
                <w:trHeight w:val="288"/>
              </w:trPr>
              <w:tc>
                <w:tcPr>
                  <w:tcW w:w="1032" w:type="pct"/>
                  <w:tcBorders>
                    <w:top w:val="nil"/>
                    <w:left w:val="nil"/>
                    <w:bottom w:val="single" w:sz="4" w:space="0" w:color="auto"/>
                    <w:right w:val="nil"/>
                  </w:tcBorders>
                  <w:shd w:val="clear" w:color="auto" w:fill="auto"/>
                  <w:noWrap/>
                  <w:vAlign w:val="bottom"/>
                  <w:hideMark/>
                </w:tcPr>
                <w:p w14:paraId="064CED47" w14:textId="77777777" w:rsidR="008318AE" w:rsidRPr="007C1DCD" w:rsidRDefault="008318AE" w:rsidP="005217BB">
                  <w:pPr>
                    <w:pStyle w:val="RSCT03TableBody"/>
                    <w:framePr w:wrap="around" w:hAnchor="text" w:yAlign="bottom"/>
                    <w:suppressOverlap/>
                    <w:rPr>
                      <w:lang w:val="en-US"/>
                    </w:rPr>
                  </w:pPr>
                  <w:r w:rsidRPr="007C1DCD">
                    <w:rPr>
                      <w:lang w:val="en-US"/>
                    </w:rPr>
                    <w:t>Solvent</w:t>
                  </w:r>
                </w:p>
              </w:tc>
              <w:tc>
                <w:tcPr>
                  <w:tcW w:w="1103" w:type="pct"/>
                  <w:tcBorders>
                    <w:top w:val="nil"/>
                    <w:left w:val="nil"/>
                    <w:bottom w:val="single" w:sz="4" w:space="0" w:color="auto"/>
                    <w:right w:val="nil"/>
                  </w:tcBorders>
                  <w:shd w:val="clear" w:color="auto" w:fill="auto"/>
                  <w:noWrap/>
                  <w:vAlign w:val="bottom"/>
                  <w:hideMark/>
                </w:tcPr>
                <w:p w14:paraId="50377597" w14:textId="77777777" w:rsidR="008318AE" w:rsidRPr="007C1DCD" w:rsidRDefault="008318AE" w:rsidP="005217BB">
                  <w:pPr>
                    <w:pStyle w:val="RSCT03TableBody"/>
                    <w:framePr w:wrap="around" w:hAnchor="text" w:yAlign="bottom"/>
                    <w:suppressOverlap/>
                    <w:rPr>
                      <w:lang w:val="en-US"/>
                    </w:rPr>
                  </w:pPr>
                  <w:r w:rsidRPr="007C1DCD">
                    <w:rPr>
                      <w:lang w:val="en-US"/>
                    </w:rPr>
                    <w:t>Volume (mL)</w:t>
                  </w:r>
                </w:p>
              </w:tc>
              <w:tc>
                <w:tcPr>
                  <w:tcW w:w="1496" w:type="pct"/>
                  <w:tcBorders>
                    <w:top w:val="nil"/>
                    <w:left w:val="nil"/>
                    <w:bottom w:val="single" w:sz="4" w:space="0" w:color="auto"/>
                    <w:right w:val="nil"/>
                  </w:tcBorders>
                  <w:shd w:val="clear" w:color="auto" w:fill="auto"/>
                  <w:noWrap/>
                  <w:vAlign w:val="bottom"/>
                  <w:hideMark/>
                </w:tcPr>
                <w:p w14:paraId="7AA6EF8E" w14:textId="77777777" w:rsidR="008318AE" w:rsidRPr="007C1DCD" w:rsidRDefault="008318AE" w:rsidP="005217BB">
                  <w:pPr>
                    <w:pStyle w:val="RSCT03TableBody"/>
                    <w:framePr w:wrap="around" w:hAnchor="text" w:yAlign="bottom"/>
                    <w:suppressOverlap/>
                    <w:rPr>
                      <w:lang w:val="en-US"/>
                    </w:rPr>
                  </w:pPr>
                  <w:r w:rsidRPr="007C1DCD">
                    <w:rPr>
                      <w:lang w:val="en-US"/>
                    </w:rPr>
                    <w:t>Temperature (°C)</w:t>
                  </w:r>
                </w:p>
              </w:tc>
              <w:tc>
                <w:tcPr>
                  <w:tcW w:w="1370" w:type="pct"/>
                  <w:tcBorders>
                    <w:top w:val="nil"/>
                    <w:left w:val="nil"/>
                    <w:bottom w:val="single" w:sz="4" w:space="0" w:color="auto"/>
                    <w:right w:val="nil"/>
                  </w:tcBorders>
                  <w:shd w:val="clear" w:color="auto" w:fill="auto"/>
                  <w:noWrap/>
                  <w:vAlign w:val="bottom"/>
                  <w:hideMark/>
                </w:tcPr>
                <w:p w14:paraId="71410249" w14:textId="77777777" w:rsidR="008318AE" w:rsidRPr="007C1DCD" w:rsidRDefault="008318AE" w:rsidP="005217BB">
                  <w:pPr>
                    <w:pStyle w:val="RSCT03TableBody"/>
                    <w:framePr w:wrap="around" w:hAnchor="text" w:yAlign="bottom"/>
                    <w:suppressOverlap/>
                    <w:rPr>
                      <w:lang w:val="en-US"/>
                    </w:rPr>
                  </w:pPr>
                  <w:r w:rsidRPr="007C1DCD">
                    <w:rPr>
                      <w:lang w:val="en-US"/>
                    </w:rPr>
                    <w:t>Isolate</w:t>
                  </w:r>
                  <w:r>
                    <w:rPr>
                      <w:lang w:val="en-US"/>
                    </w:rPr>
                    <w:t>d</w:t>
                  </w:r>
                  <w:r w:rsidRPr="007C1DCD">
                    <w:rPr>
                      <w:lang w:val="en-US"/>
                    </w:rPr>
                    <w:t xml:space="preserve"> Yield</w:t>
                  </w:r>
                  <w:r>
                    <w:rPr>
                      <w:lang w:val="en-US"/>
                    </w:rPr>
                    <w:t xml:space="preserve"> (%)</w:t>
                  </w:r>
                </w:p>
              </w:tc>
            </w:tr>
            <w:tr w:rsidR="008318AE" w:rsidRPr="007C1DCD" w14:paraId="53042AD5" w14:textId="77777777" w:rsidTr="005217BB">
              <w:trPr>
                <w:trHeight w:val="227"/>
              </w:trPr>
              <w:tc>
                <w:tcPr>
                  <w:tcW w:w="1032" w:type="pct"/>
                  <w:tcBorders>
                    <w:top w:val="single" w:sz="4" w:space="0" w:color="auto"/>
                    <w:left w:val="nil"/>
                    <w:bottom w:val="nil"/>
                    <w:right w:val="nil"/>
                  </w:tcBorders>
                  <w:shd w:val="clear" w:color="auto" w:fill="auto"/>
                  <w:noWrap/>
                  <w:vAlign w:val="bottom"/>
                  <w:hideMark/>
                </w:tcPr>
                <w:p w14:paraId="657E754D" w14:textId="77777777" w:rsidR="008318AE" w:rsidRPr="007C1DCD" w:rsidRDefault="008318AE" w:rsidP="005217BB">
                  <w:pPr>
                    <w:pStyle w:val="RSCT03TableBody"/>
                    <w:framePr w:wrap="around" w:hAnchor="text" w:yAlign="bottom"/>
                    <w:suppressOverlap/>
                    <w:rPr>
                      <w:lang w:val="en-US"/>
                    </w:rPr>
                  </w:pPr>
                  <w:r w:rsidRPr="007C1DCD">
                    <w:rPr>
                      <w:lang w:val="en-US"/>
                    </w:rPr>
                    <w:t>Methanol</w:t>
                  </w:r>
                </w:p>
              </w:tc>
              <w:tc>
                <w:tcPr>
                  <w:tcW w:w="1103" w:type="pct"/>
                  <w:tcBorders>
                    <w:top w:val="single" w:sz="4" w:space="0" w:color="auto"/>
                    <w:left w:val="nil"/>
                    <w:bottom w:val="nil"/>
                    <w:right w:val="nil"/>
                  </w:tcBorders>
                  <w:shd w:val="clear" w:color="auto" w:fill="auto"/>
                  <w:noWrap/>
                  <w:vAlign w:val="center"/>
                  <w:hideMark/>
                </w:tcPr>
                <w:p w14:paraId="3F66FF1D" w14:textId="77777777" w:rsidR="008318AE" w:rsidRPr="007C1DCD" w:rsidRDefault="008318AE" w:rsidP="005217BB">
                  <w:pPr>
                    <w:pStyle w:val="RSCT03TableBody"/>
                    <w:framePr w:wrap="around" w:hAnchor="text" w:yAlign="bottom"/>
                    <w:suppressOverlap/>
                    <w:rPr>
                      <w:lang w:val="en-US"/>
                    </w:rPr>
                  </w:pPr>
                  <w:r w:rsidRPr="007C1DCD">
                    <w:rPr>
                      <w:lang w:val="en-US"/>
                    </w:rPr>
                    <w:t>3</w:t>
                  </w:r>
                </w:p>
              </w:tc>
              <w:tc>
                <w:tcPr>
                  <w:tcW w:w="1496" w:type="pct"/>
                  <w:tcBorders>
                    <w:top w:val="single" w:sz="4" w:space="0" w:color="auto"/>
                    <w:left w:val="nil"/>
                    <w:bottom w:val="nil"/>
                    <w:right w:val="nil"/>
                  </w:tcBorders>
                  <w:shd w:val="clear" w:color="auto" w:fill="auto"/>
                  <w:noWrap/>
                  <w:vAlign w:val="bottom"/>
                  <w:hideMark/>
                </w:tcPr>
                <w:p w14:paraId="6D55C3D7"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single" w:sz="4" w:space="0" w:color="auto"/>
                    <w:left w:val="nil"/>
                    <w:bottom w:val="nil"/>
                    <w:right w:val="nil"/>
                  </w:tcBorders>
                  <w:shd w:val="clear" w:color="auto" w:fill="auto"/>
                  <w:noWrap/>
                  <w:vAlign w:val="bottom"/>
                  <w:hideMark/>
                </w:tcPr>
                <w:p w14:paraId="0E46F3D0" w14:textId="3CFD2CC1" w:rsidR="008318AE" w:rsidRPr="007C1DCD" w:rsidRDefault="008318AE" w:rsidP="004F3D71">
                  <w:pPr>
                    <w:pStyle w:val="RSCT03TableBody"/>
                    <w:framePr w:wrap="around" w:hAnchor="text" w:yAlign="bottom"/>
                    <w:suppressOverlap/>
                    <w:rPr>
                      <w:lang w:val="en-US"/>
                    </w:rPr>
                  </w:pPr>
                  <w:r>
                    <w:rPr>
                      <w:lang w:val="en-US"/>
                    </w:rPr>
                    <w:t>71</w:t>
                  </w:r>
                </w:p>
              </w:tc>
            </w:tr>
            <w:tr w:rsidR="008318AE" w:rsidRPr="007C1DCD" w14:paraId="427F3E46" w14:textId="77777777" w:rsidTr="005217BB">
              <w:trPr>
                <w:trHeight w:val="227"/>
              </w:trPr>
              <w:tc>
                <w:tcPr>
                  <w:tcW w:w="1032" w:type="pct"/>
                  <w:tcBorders>
                    <w:top w:val="nil"/>
                    <w:left w:val="nil"/>
                    <w:bottom w:val="nil"/>
                    <w:right w:val="nil"/>
                  </w:tcBorders>
                  <w:shd w:val="clear" w:color="auto" w:fill="auto"/>
                  <w:noWrap/>
                  <w:vAlign w:val="bottom"/>
                  <w:hideMark/>
                </w:tcPr>
                <w:p w14:paraId="61EC1707" w14:textId="77777777" w:rsidR="008318AE" w:rsidRPr="007C1DCD" w:rsidRDefault="008318AE" w:rsidP="005217BB">
                  <w:pPr>
                    <w:pStyle w:val="RSCT03TableBody"/>
                    <w:framePr w:wrap="around" w:hAnchor="text" w:yAlign="bottom"/>
                    <w:suppressOverlap/>
                    <w:rPr>
                      <w:lang w:val="en-US"/>
                    </w:rPr>
                  </w:pPr>
                  <w:r w:rsidRPr="007C1DCD">
                    <w:rPr>
                      <w:lang w:val="en-US"/>
                    </w:rPr>
                    <w:t>Methanol</w:t>
                  </w:r>
                </w:p>
              </w:tc>
              <w:tc>
                <w:tcPr>
                  <w:tcW w:w="1103" w:type="pct"/>
                  <w:tcBorders>
                    <w:top w:val="nil"/>
                    <w:left w:val="nil"/>
                    <w:bottom w:val="nil"/>
                    <w:right w:val="nil"/>
                  </w:tcBorders>
                  <w:shd w:val="clear" w:color="auto" w:fill="auto"/>
                  <w:noWrap/>
                  <w:vAlign w:val="center"/>
                  <w:hideMark/>
                </w:tcPr>
                <w:p w14:paraId="393C45BB" w14:textId="77777777" w:rsidR="008318AE" w:rsidRPr="007C1DCD" w:rsidRDefault="008318AE" w:rsidP="005217BB">
                  <w:pPr>
                    <w:pStyle w:val="RSCT03TableBody"/>
                    <w:framePr w:wrap="around" w:hAnchor="text" w:yAlign="bottom"/>
                    <w:suppressOverlap/>
                    <w:rPr>
                      <w:lang w:val="en-US"/>
                    </w:rPr>
                  </w:pPr>
                  <w:r w:rsidRPr="007C1DCD">
                    <w:rPr>
                      <w:lang w:val="en-US"/>
                    </w:rPr>
                    <w:t>4</w:t>
                  </w:r>
                </w:p>
              </w:tc>
              <w:tc>
                <w:tcPr>
                  <w:tcW w:w="1496" w:type="pct"/>
                  <w:tcBorders>
                    <w:top w:val="nil"/>
                    <w:left w:val="nil"/>
                    <w:bottom w:val="nil"/>
                    <w:right w:val="nil"/>
                  </w:tcBorders>
                  <w:shd w:val="clear" w:color="auto" w:fill="auto"/>
                  <w:noWrap/>
                  <w:vAlign w:val="bottom"/>
                  <w:hideMark/>
                </w:tcPr>
                <w:p w14:paraId="584BD6C5"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nil"/>
                    <w:left w:val="nil"/>
                    <w:bottom w:val="nil"/>
                    <w:right w:val="nil"/>
                  </w:tcBorders>
                  <w:shd w:val="clear" w:color="auto" w:fill="auto"/>
                  <w:noWrap/>
                  <w:vAlign w:val="bottom"/>
                  <w:hideMark/>
                </w:tcPr>
                <w:p w14:paraId="707B3A7A" w14:textId="6E12FDDA" w:rsidR="008318AE" w:rsidRPr="007C1DCD" w:rsidRDefault="008318AE" w:rsidP="004F3D71">
                  <w:pPr>
                    <w:pStyle w:val="RSCT03TableBody"/>
                    <w:framePr w:wrap="around" w:hAnchor="text" w:yAlign="bottom"/>
                    <w:suppressOverlap/>
                    <w:rPr>
                      <w:lang w:val="en-US"/>
                    </w:rPr>
                  </w:pPr>
                  <w:r>
                    <w:rPr>
                      <w:lang w:val="en-US"/>
                    </w:rPr>
                    <w:t>7</w:t>
                  </w:r>
                  <w:r w:rsidR="004F3D71">
                    <w:rPr>
                      <w:lang w:val="en-US"/>
                    </w:rPr>
                    <w:t>1</w:t>
                  </w:r>
                </w:p>
              </w:tc>
            </w:tr>
            <w:tr w:rsidR="008318AE" w:rsidRPr="007C1DCD" w14:paraId="6F7A5211" w14:textId="77777777" w:rsidTr="005217BB">
              <w:trPr>
                <w:trHeight w:val="227"/>
              </w:trPr>
              <w:tc>
                <w:tcPr>
                  <w:tcW w:w="1032" w:type="pct"/>
                  <w:tcBorders>
                    <w:top w:val="nil"/>
                    <w:left w:val="nil"/>
                    <w:bottom w:val="nil"/>
                    <w:right w:val="nil"/>
                  </w:tcBorders>
                  <w:shd w:val="clear" w:color="auto" w:fill="auto"/>
                  <w:noWrap/>
                  <w:vAlign w:val="bottom"/>
                  <w:hideMark/>
                </w:tcPr>
                <w:p w14:paraId="2684E942" w14:textId="77777777" w:rsidR="008318AE" w:rsidRPr="007C1DCD" w:rsidRDefault="008318AE" w:rsidP="005217BB">
                  <w:pPr>
                    <w:pStyle w:val="RSCT03TableBody"/>
                    <w:framePr w:wrap="around" w:hAnchor="text" w:yAlign="bottom"/>
                    <w:suppressOverlap/>
                    <w:rPr>
                      <w:lang w:val="en-US"/>
                    </w:rPr>
                  </w:pPr>
                  <w:r w:rsidRPr="007C1DCD">
                    <w:rPr>
                      <w:lang w:val="en-US"/>
                    </w:rPr>
                    <w:t>Methanol</w:t>
                  </w:r>
                </w:p>
              </w:tc>
              <w:tc>
                <w:tcPr>
                  <w:tcW w:w="1103" w:type="pct"/>
                  <w:tcBorders>
                    <w:top w:val="nil"/>
                    <w:left w:val="nil"/>
                    <w:bottom w:val="nil"/>
                    <w:right w:val="nil"/>
                  </w:tcBorders>
                  <w:shd w:val="clear" w:color="auto" w:fill="auto"/>
                  <w:noWrap/>
                  <w:vAlign w:val="center"/>
                  <w:hideMark/>
                </w:tcPr>
                <w:p w14:paraId="53F55D0C" w14:textId="77777777" w:rsidR="008318AE" w:rsidRPr="007C1DCD" w:rsidRDefault="008318AE" w:rsidP="005217BB">
                  <w:pPr>
                    <w:pStyle w:val="RSCT03TableBody"/>
                    <w:framePr w:wrap="around" w:hAnchor="text" w:yAlign="bottom"/>
                    <w:suppressOverlap/>
                    <w:rPr>
                      <w:lang w:val="en-US"/>
                    </w:rPr>
                  </w:pPr>
                  <w:r w:rsidRPr="007C1DCD">
                    <w:rPr>
                      <w:lang w:val="en-US"/>
                    </w:rPr>
                    <w:t>5</w:t>
                  </w:r>
                </w:p>
              </w:tc>
              <w:tc>
                <w:tcPr>
                  <w:tcW w:w="1496" w:type="pct"/>
                  <w:tcBorders>
                    <w:top w:val="nil"/>
                    <w:left w:val="nil"/>
                    <w:bottom w:val="nil"/>
                    <w:right w:val="nil"/>
                  </w:tcBorders>
                  <w:shd w:val="clear" w:color="auto" w:fill="auto"/>
                  <w:noWrap/>
                  <w:vAlign w:val="bottom"/>
                  <w:hideMark/>
                </w:tcPr>
                <w:p w14:paraId="06FF678F"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nil"/>
                    <w:left w:val="nil"/>
                    <w:bottom w:val="nil"/>
                    <w:right w:val="nil"/>
                  </w:tcBorders>
                  <w:shd w:val="clear" w:color="auto" w:fill="auto"/>
                  <w:noWrap/>
                  <w:vAlign w:val="bottom"/>
                  <w:hideMark/>
                </w:tcPr>
                <w:p w14:paraId="0F349665" w14:textId="1B0CB699" w:rsidR="008318AE" w:rsidRPr="007C1DCD" w:rsidRDefault="008318AE" w:rsidP="004F3D71">
                  <w:pPr>
                    <w:pStyle w:val="RSCT03TableBody"/>
                    <w:framePr w:wrap="around" w:hAnchor="text" w:yAlign="bottom"/>
                    <w:suppressOverlap/>
                    <w:rPr>
                      <w:lang w:val="en-US"/>
                    </w:rPr>
                  </w:pPr>
                  <w:r w:rsidRPr="007C1DCD">
                    <w:rPr>
                      <w:lang w:val="en-US"/>
                    </w:rPr>
                    <w:t>6</w:t>
                  </w:r>
                  <w:r w:rsidR="004F3D71">
                    <w:rPr>
                      <w:lang w:val="en-US"/>
                    </w:rPr>
                    <w:t>9</w:t>
                  </w:r>
                </w:p>
              </w:tc>
            </w:tr>
            <w:tr w:rsidR="008318AE" w:rsidRPr="007C1DCD" w14:paraId="230EC3D7" w14:textId="77777777" w:rsidTr="005217BB">
              <w:trPr>
                <w:trHeight w:val="227"/>
              </w:trPr>
              <w:tc>
                <w:tcPr>
                  <w:tcW w:w="1032" w:type="pct"/>
                  <w:tcBorders>
                    <w:top w:val="nil"/>
                    <w:left w:val="nil"/>
                    <w:bottom w:val="nil"/>
                    <w:right w:val="nil"/>
                  </w:tcBorders>
                  <w:shd w:val="clear" w:color="auto" w:fill="auto"/>
                  <w:noWrap/>
                  <w:vAlign w:val="bottom"/>
                  <w:hideMark/>
                </w:tcPr>
                <w:p w14:paraId="42AB4AEA" w14:textId="77777777" w:rsidR="008318AE" w:rsidRPr="007C1DCD" w:rsidRDefault="008318AE" w:rsidP="005217BB">
                  <w:pPr>
                    <w:pStyle w:val="RSCT03TableBody"/>
                    <w:framePr w:wrap="around" w:hAnchor="text" w:yAlign="bottom"/>
                    <w:suppressOverlap/>
                    <w:rPr>
                      <w:lang w:val="en-US"/>
                    </w:rPr>
                  </w:pPr>
                  <w:r w:rsidRPr="007C1DCD">
                    <w:rPr>
                      <w:lang w:val="en-US"/>
                    </w:rPr>
                    <w:t>Ethanol</w:t>
                  </w:r>
                </w:p>
              </w:tc>
              <w:tc>
                <w:tcPr>
                  <w:tcW w:w="1103" w:type="pct"/>
                  <w:tcBorders>
                    <w:top w:val="nil"/>
                    <w:left w:val="nil"/>
                    <w:bottom w:val="nil"/>
                    <w:right w:val="nil"/>
                  </w:tcBorders>
                  <w:shd w:val="clear" w:color="auto" w:fill="auto"/>
                  <w:noWrap/>
                  <w:vAlign w:val="center"/>
                  <w:hideMark/>
                </w:tcPr>
                <w:p w14:paraId="4065CCD9" w14:textId="77777777" w:rsidR="008318AE" w:rsidRPr="007C1DCD" w:rsidRDefault="008318AE" w:rsidP="005217BB">
                  <w:pPr>
                    <w:pStyle w:val="RSCT03TableBody"/>
                    <w:framePr w:wrap="around" w:hAnchor="text" w:yAlign="bottom"/>
                    <w:suppressOverlap/>
                    <w:rPr>
                      <w:lang w:val="en-US"/>
                    </w:rPr>
                  </w:pPr>
                  <w:r w:rsidRPr="007C1DCD">
                    <w:rPr>
                      <w:lang w:val="en-US"/>
                    </w:rPr>
                    <w:t>3</w:t>
                  </w:r>
                </w:p>
              </w:tc>
              <w:tc>
                <w:tcPr>
                  <w:tcW w:w="1496" w:type="pct"/>
                  <w:tcBorders>
                    <w:top w:val="nil"/>
                    <w:left w:val="nil"/>
                    <w:bottom w:val="nil"/>
                    <w:right w:val="nil"/>
                  </w:tcBorders>
                  <w:shd w:val="clear" w:color="auto" w:fill="auto"/>
                  <w:noWrap/>
                  <w:vAlign w:val="bottom"/>
                  <w:hideMark/>
                </w:tcPr>
                <w:p w14:paraId="1C707282"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nil"/>
                    <w:left w:val="nil"/>
                    <w:bottom w:val="nil"/>
                    <w:right w:val="nil"/>
                  </w:tcBorders>
                  <w:shd w:val="clear" w:color="auto" w:fill="auto"/>
                  <w:noWrap/>
                  <w:vAlign w:val="bottom"/>
                  <w:hideMark/>
                </w:tcPr>
                <w:p w14:paraId="20E59841" w14:textId="1E312FDF" w:rsidR="008318AE" w:rsidRPr="007C1DCD" w:rsidRDefault="004F3D71" w:rsidP="005217BB">
                  <w:pPr>
                    <w:pStyle w:val="RSCT03TableBody"/>
                    <w:framePr w:wrap="around" w:hAnchor="text" w:yAlign="bottom"/>
                    <w:suppressOverlap/>
                    <w:rPr>
                      <w:lang w:val="en-US"/>
                    </w:rPr>
                  </w:pPr>
                  <w:r>
                    <w:rPr>
                      <w:lang w:val="en-US"/>
                    </w:rPr>
                    <w:t>70</w:t>
                  </w:r>
                </w:p>
              </w:tc>
            </w:tr>
            <w:tr w:rsidR="008318AE" w:rsidRPr="007C1DCD" w14:paraId="5158B0E5" w14:textId="77777777" w:rsidTr="005217BB">
              <w:trPr>
                <w:trHeight w:val="227"/>
              </w:trPr>
              <w:tc>
                <w:tcPr>
                  <w:tcW w:w="1032" w:type="pct"/>
                  <w:tcBorders>
                    <w:top w:val="nil"/>
                    <w:left w:val="nil"/>
                    <w:bottom w:val="nil"/>
                    <w:right w:val="nil"/>
                  </w:tcBorders>
                  <w:shd w:val="clear" w:color="auto" w:fill="auto"/>
                  <w:noWrap/>
                  <w:vAlign w:val="bottom"/>
                  <w:hideMark/>
                </w:tcPr>
                <w:p w14:paraId="087BDADD" w14:textId="77777777" w:rsidR="008318AE" w:rsidRPr="007C1DCD" w:rsidRDefault="008318AE" w:rsidP="005217BB">
                  <w:pPr>
                    <w:pStyle w:val="RSCT03TableBody"/>
                    <w:framePr w:wrap="around" w:hAnchor="text" w:yAlign="bottom"/>
                    <w:suppressOverlap/>
                    <w:rPr>
                      <w:lang w:val="en-US"/>
                    </w:rPr>
                  </w:pPr>
                  <w:r w:rsidRPr="007C1DCD">
                    <w:rPr>
                      <w:lang w:val="en-US"/>
                    </w:rPr>
                    <w:t>Isopropanol</w:t>
                  </w:r>
                </w:p>
              </w:tc>
              <w:tc>
                <w:tcPr>
                  <w:tcW w:w="1103" w:type="pct"/>
                  <w:tcBorders>
                    <w:top w:val="nil"/>
                    <w:left w:val="nil"/>
                    <w:bottom w:val="nil"/>
                    <w:right w:val="nil"/>
                  </w:tcBorders>
                  <w:shd w:val="clear" w:color="auto" w:fill="auto"/>
                  <w:noWrap/>
                  <w:vAlign w:val="center"/>
                  <w:hideMark/>
                </w:tcPr>
                <w:p w14:paraId="1287F5E7" w14:textId="77777777" w:rsidR="008318AE" w:rsidRPr="007C1DCD" w:rsidRDefault="008318AE" w:rsidP="005217BB">
                  <w:pPr>
                    <w:pStyle w:val="RSCT03TableBody"/>
                    <w:framePr w:wrap="around" w:hAnchor="text" w:yAlign="bottom"/>
                    <w:suppressOverlap/>
                    <w:rPr>
                      <w:lang w:val="en-US"/>
                    </w:rPr>
                  </w:pPr>
                  <w:r w:rsidRPr="007C1DCD">
                    <w:rPr>
                      <w:lang w:val="en-US"/>
                    </w:rPr>
                    <w:t>3</w:t>
                  </w:r>
                </w:p>
              </w:tc>
              <w:tc>
                <w:tcPr>
                  <w:tcW w:w="1496" w:type="pct"/>
                  <w:tcBorders>
                    <w:top w:val="nil"/>
                    <w:left w:val="nil"/>
                    <w:bottom w:val="nil"/>
                    <w:right w:val="nil"/>
                  </w:tcBorders>
                  <w:shd w:val="clear" w:color="auto" w:fill="auto"/>
                  <w:noWrap/>
                  <w:vAlign w:val="bottom"/>
                  <w:hideMark/>
                </w:tcPr>
                <w:p w14:paraId="04F15971"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nil"/>
                    <w:left w:val="nil"/>
                    <w:bottom w:val="nil"/>
                    <w:right w:val="nil"/>
                  </w:tcBorders>
                  <w:shd w:val="clear" w:color="auto" w:fill="auto"/>
                  <w:noWrap/>
                  <w:vAlign w:val="bottom"/>
                  <w:hideMark/>
                </w:tcPr>
                <w:p w14:paraId="3A00F235" w14:textId="714A8FEF" w:rsidR="008318AE" w:rsidRPr="007C1DCD" w:rsidRDefault="008318AE" w:rsidP="005217BB">
                  <w:pPr>
                    <w:pStyle w:val="RSCT03TableBody"/>
                    <w:framePr w:wrap="around" w:hAnchor="text" w:yAlign="bottom"/>
                    <w:suppressOverlap/>
                    <w:rPr>
                      <w:lang w:val="en-US"/>
                    </w:rPr>
                  </w:pPr>
                  <w:r w:rsidRPr="007C1DCD">
                    <w:rPr>
                      <w:lang w:val="en-US"/>
                    </w:rPr>
                    <w:t>7</w:t>
                  </w:r>
                  <w:r>
                    <w:rPr>
                      <w:lang w:val="en-US"/>
                    </w:rPr>
                    <w:t>2</w:t>
                  </w:r>
                </w:p>
              </w:tc>
            </w:tr>
            <w:tr w:rsidR="008318AE" w:rsidRPr="007C1DCD" w14:paraId="296A9977" w14:textId="77777777" w:rsidTr="005217BB">
              <w:trPr>
                <w:trHeight w:val="227"/>
              </w:trPr>
              <w:tc>
                <w:tcPr>
                  <w:tcW w:w="1032" w:type="pct"/>
                  <w:tcBorders>
                    <w:top w:val="nil"/>
                    <w:left w:val="nil"/>
                    <w:bottom w:val="nil"/>
                    <w:right w:val="nil"/>
                  </w:tcBorders>
                  <w:shd w:val="clear" w:color="auto" w:fill="auto"/>
                  <w:noWrap/>
                  <w:vAlign w:val="bottom"/>
                  <w:hideMark/>
                </w:tcPr>
                <w:p w14:paraId="528732A2" w14:textId="77777777" w:rsidR="008318AE" w:rsidRPr="007C1DCD" w:rsidRDefault="008318AE" w:rsidP="005217BB">
                  <w:pPr>
                    <w:pStyle w:val="RSCT03TableBody"/>
                    <w:framePr w:wrap="around" w:hAnchor="text" w:yAlign="bottom"/>
                    <w:suppressOverlap/>
                    <w:rPr>
                      <w:lang w:val="en-US"/>
                    </w:rPr>
                  </w:pPr>
                  <w:r w:rsidRPr="007C1DCD">
                    <w:rPr>
                      <w:lang w:val="en-US"/>
                    </w:rPr>
                    <w:t>Acetonitrile</w:t>
                  </w:r>
                </w:p>
              </w:tc>
              <w:tc>
                <w:tcPr>
                  <w:tcW w:w="1103" w:type="pct"/>
                  <w:tcBorders>
                    <w:top w:val="nil"/>
                    <w:left w:val="nil"/>
                    <w:bottom w:val="nil"/>
                    <w:right w:val="nil"/>
                  </w:tcBorders>
                  <w:shd w:val="clear" w:color="auto" w:fill="auto"/>
                  <w:noWrap/>
                  <w:vAlign w:val="center"/>
                  <w:hideMark/>
                </w:tcPr>
                <w:p w14:paraId="27AE4AD8" w14:textId="77777777" w:rsidR="008318AE" w:rsidRPr="007C1DCD" w:rsidRDefault="008318AE" w:rsidP="005217BB">
                  <w:pPr>
                    <w:pStyle w:val="RSCT03TableBody"/>
                    <w:framePr w:wrap="around" w:hAnchor="text" w:yAlign="bottom"/>
                    <w:suppressOverlap/>
                    <w:rPr>
                      <w:lang w:val="en-US"/>
                    </w:rPr>
                  </w:pPr>
                  <w:r w:rsidRPr="007C1DCD">
                    <w:rPr>
                      <w:lang w:val="en-US"/>
                    </w:rPr>
                    <w:t>3</w:t>
                  </w:r>
                </w:p>
              </w:tc>
              <w:tc>
                <w:tcPr>
                  <w:tcW w:w="1496" w:type="pct"/>
                  <w:tcBorders>
                    <w:top w:val="nil"/>
                    <w:left w:val="nil"/>
                    <w:bottom w:val="nil"/>
                    <w:right w:val="nil"/>
                  </w:tcBorders>
                  <w:shd w:val="clear" w:color="auto" w:fill="auto"/>
                  <w:noWrap/>
                  <w:vAlign w:val="bottom"/>
                  <w:hideMark/>
                </w:tcPr>
                <w:p w14:paraId="6479F9B6"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nil"/>
                    <w:left w:val="nil"/>
                    <w:bottom w:val="nil"/>
                    <w:right w:val="nil"/>
                  </w:tcBorders>
                  <w:shd w:val="clear" w:color="auto" w:fill="auto"/>
                  <w:noWrap/>
                  <w:vAlign w:val="bottom"/>
                  <w:hideMark/>
                </w:tcPr>
                <w:p w14:paraId="366DB2A1" w14:textId="6855B9A8" w:rsidR="008318AE" w:rsidRPr="007C1DCD" w:rsidRDefault="008318AE" w:rsidP="004F3D71">
                  <w:pPr>
                    <w:pStyle w:val="RSCT03TableBody"/>
                    <w:framePr w:wrap="around" w:hAnchor="text" w:yAlign="bottom"/>
                    <w:suppressOverlap/>
                    <w:rPr>
                      <w:lang w:val="en-US"/>
                    </w:rPr>
                  </w:pPr>
                  <w:r w:rsidRPr="007C1DCD">
                    <w:rPr>
                      <w:lang w:val="en-US"/>
                    </w:rPr>
                    <w:t>7</w:t>
                  </w:r>
                  <w:r w:rsidR="004F3D71">
                    <w:rPr>
                      <w:lang w:val="en-US"/>
                    </w:rPr>
                    <w:t>5</w:t>
                  </w:r>
                </w:p>
              </w:tc>
            </w:tr>
            <w:tr w:rsidR="008318AE" w:rsidRPr="007C1DCD" w14:paraId="08EFE17D" w14:textId="77777777" w:rsidTr="005217BB">
              <w:trPr>
                <w:trHeight w:val="227"/>
              </w:trPr>
              <w:tc>
                <w:tcPr>
                  <w:tcW w:w="1032" w:type="pct"/>
                  <w:tcBorders>
                    <w:top w:val="nil"/>
                    <w:left w:val="nil"/>
                    <w:bottom w:val="nil"/>
                    <w:right w:val="nil"/>
                  </w:tcBorders>
                  <w:shd w:val="clear" w:color="auto" w:fill="auto"/>
                  <w:noWrap/>
                  <w:vAlign w:val="bottom"/>
                  <w:hideMark/>
                </w:tcPr>
                <w:p w14:paraId="798E2EF0" w14:textId="77777777" w:rsidR="008318AE" w:rsidRPr="007C1DCD" w:rsidRDefault="008318AE" w:rsidP="005217BB">
                  <w:pPr>
                    <w:pStyle w:val="RSCT03TableBody"/>
                    <w:framePr w:wrap="around" w:hAnchor="text" w:yAlign="bottom"/>
                    <w:suppressOverlap/>
                    <w:rPr>
                      <w:lang w:val="en-US"/>
                    </w:rPr>
                  </w:pPr>
                  <w:r>
                    <w:rPr>
                      <w:lang w:val="en-US"/>
                    </w:rPr>
                    <w:t>Neat</w:t>
                  </w:r>
                </w:p>
              </w:tc>
              <w:tc>
                <w:tcPr>
                  <w:tcW w:w="1103" w:type="pct"/>
                  <w:tcBorders>
                    <w:top w:val="nil"/>
                    <w:left w:val="nil"/>
                    <w:bottom w:val="nil"/>
                    <w:right w:val="nil"/>
                  </w:tcBorders>
                  <w:shd w:val="clear" w:color="auto" w:fill="auto"/>
                  <w:noWrap/>
                  <w:vAlign w:val="center"/>
                  <w:hideMark/>
                </w:tcPr>
                <w:p w14:paraId="5EAB9CAE" w14:textId="77777777" w:rsidR="008318AE" w:rsidRPr="007C1DCD" w:rsidRDefault="008318AE" w:rsidP="005217BB">
                  <w:pPr>
                    <w:pStyle w:val="RSCT03TableBody"/>
                    <w:framePr w:wrap="around" w:hAnchor="text" w:yAlign="bottom"/>
                    <w:suppressOverlap/>
                    <w:rPr>
                      <w:lang w:val="en-US"/>
                    </w:rPr>
                  </w:pPr>
                  <w:r>
                    <w:rPr>
                      <w:lang w:val="en-US"/>
                    </w:rPr>
                    <w:t>-</w:t>
                  </w:r>
                </w:p>
              </w:tc>
              <w:tc>
                <w:tcPr>
                  <w:tcW w:w="1496" w:type="pct"/>
                  <w:tcBorders>
                    <w:top w:val="nil"/>
                    <w:left w:val="nil"/>
                    <w:bottom w:val="nil"/>
                    <w:right w:val="nil"/>
                  </w:tcBorders>
                  <w:shd w:val="clear" w:color="auto" w:fill="auto"/>
                  <w:noWrap/>
                  <w:vAlign w:val="bottom"/>
                  <w:hideMark/>
                </w:tcPr>
                <w:p w14:paraId="78A6A3D6" w14:textId="77777777" w:rsidR="008318AE" w:rsidRPr="007C1DCD" w:rsidRDefault="008318AE" w:rsidP="005217BB">
                  <w:pPr>
                    <w:pStyle w:val="RSCT03TableBody"/>
                    <w:framePr w:wrap="around" w:hAnchor="text" w:yAlign="bottom"/>
                    <w:suppressOverlap/>
                    <w:rPr>
                      <w:lang w:val="en-US"/>
                    </w:rPr>
                  </w:pPr>
                  <w:r w:rsidRPr="007C1DCD">
                    <w:rPr>
                      <w:lang w:val="en-US"/>
                    </w:rPr>
                    <w:t>22</w:t>
                  </w:r>
                </w:p>
              </w:tc>
              <w:tc>
                <w:tcPr>
                  <w:tcW w:w="1370" w:type="pct"/>
                  <w:tcBorders>
                    <w:top w:val="nil"/>
                    <w:left w:val="nil"/>
                    <w:bottom w:val="nil"/>
                    <w:right w:val="nil"/>
                  </w:tcBorders>
                  <w:shd w:val="clear" w:color="auto" w:fill="auto"/>
                  <w:noWrap/>
                  <w:vAlign w:val="bottom"/>
                  <w:hideMark/>
                </w:tcPr>
                <w:p w14:paraId="2BE846C6" w14:textId="10168A9A" w:rsidR="008318AE" w:rsidRPr="007C1DCD" w:rsidRDefault="008318AE" w:rsidP="004F3D71">
                  <w:pPr>
                    <w:pStyle w:val="RSCT03TableBody"/>
                    <w:framePr w:wrap="around" w:hAnchor="text" w:yAlign="bottom"/>
                    <w:suppressOverlap/>
                    <w:rPr>
                      <w:lang w:val="en-US"/>
                    </w:rPr>
                  </w:pPr>
                  <w:r w:rsidRPr="007C1DCD">
                    <w:rPr>
                      <w:lang w:val="en-US"/>
                    </w:rPr>
                    <w:t>80</w:t>
                  </w:r>
                </w:p>
              </w:tc>
            </w:tr>
            <w:tr w:rsidR="008318AE" w:rsidRPr="007C1DCD" w14:paraId="7C39F319" w14:textId="77777777" w:rsidTr="005217BB">
              <w:trPr>
                <w:trHeight w:val="227"/>
              </w:trPr>
              <w:tc>
                <w:tcPr>
                  <w:tcW w:w="1032" w:type="pct"/>
                  <w:tcBorders>
                    <w:top w:val="nil"/>
                    <w:left w:val="nil"/>
                    <w:bottom w:val="nil"/>
                    <w:right w:val="nil"/>
                  </w:tcBorders>
                  <w:shd w:val="clear" w:color="auto" w:fill="auto"/>
                  <w:noWrap/>
                  <w:vAlign w:val="bottom"/>
                  <w:hideMark/>
                </w:tcPr>
                <w:p w14:paraId="75AA3DCA" w14:textId="77777777" w:rsidR="008318AE" w:rsidRPr="007C1DCD" w:rsidRDefault="008318AE" w:rsidP="005217BB">
                  <w:pPr>
                    <w:pStyle w:val="RSCT03TableBody"/>
                    <w:framePr w:wrap="around" w:hAnchor="text" w:yAlign="bottom"/>
                    <w:suppressOverlap/>
                    <w:rPr>
                      <w:lang w:val="en-US"/>
                    </w:rPr>
                  </w:pPr>
                  <w:r>
                    <w:rPr>
                      <w:lang w:val="en-US"/>
                    </w:rPr>
                    <w:t>Neat</w:t>
                  </w:r>
                </w:p>
              </w:tc>
              <w:tc>
                <w:tcPr>
                  <w:tcW w:w="1103" w:type="pct"/>
                  <w:tcBorders>
                    <w:top w:val="nil"/>
                    <w:left w:val="nil"/>
                    <w:bottom w:val="nil"/>
                    <w:right w:val="nil"/>
                  </w:tcBorders>
                  <w:shd w:val="clear" w:color="auto" w:fill="auto"/>
                  <w:noWrap/>
                  <w:vAlign w:val="bottom"/>
                  <w:hideMark/>
                </w:tcPr>
                <w:p w14:paraId="1F11763B" w14:textId="77777777" w:rsidR="008318AE" w:rsidRPr="007C1DCD" w:rsidRDefault="008318AE" w:rsidP="005217BB">
                  <w:pPr>
                    <w:pStyle w:val="RSCT03TableBody"/>
                    <w:framePr w:wrap="around" w:hAnchor="text" w:yAlign="bottom"/>
                    <w:suppressOverlap/>
                  </w:pPr>
                  <w:r>
                    <w:t>-</w:t>
                  </w:r>
                </w:p>
              </w:tc>
              <w:tc>
                <w:tcPr>
                  <w:tcW w:w="1496" w:type="pct"/>
                  <w:tcBorders>
                    <w:top w:val="nil"/>
                    <w:left w:val="nil"/>
                    <w:bottom w:val="nil"/>
                    <w:right w:val="nil"/>
                  </w:tcBorders>
                  <w:shd w:val="clear" w:color="auto" w:fill="auto"/>
                  <w:noWrap/>
                  <w:vAlign w:val="bottom"/>
                  <w:hideMark/>
                </w:tcPr>
                <w:p w14:paraId="7BF1750B" w14:textId="77777777" w:rsidR="008318AE" w:rsidRPr="007C1DCD" w:rsidRDefault="008318AE" w:rsidP="005217BB">
                  <w:pPr>
                    <w:pStyle w:val="RSCT03TableBody"/>
                    <w:framePr w:wrap="around" w:hAnchor="text" w:yAlign="bottom"/>
                    <w:suppressOverlap/>
                    <w:rPr>
                      <w:lang w:val="en-US"/>
                    </w:rPr>
                  </w:pPr>
                  <w:r w:rsidRPr="007C1DCD">
                    <w:rPr>
                      <w:lang w:val="en-US"/>
                    </w:rPr>
                    <w:t>50</w:t>
                  </w:r>
                </w:p>
              </w:tc>
              <w:tc>
                <w:tcPr>
                  <w:tcW w:w="1370" w:type="pct"/>
                  <w:tcBorders>
                    <w:top w:val="nil"/>
                    <w:left w:val="nil"/>
                    <w:bottom w:val="nil"/>
                    <w:right w:val="nil"/>
                  </w:tcBorders>
                  <w:shd w:val="clear" w:color="auto" w:fill="auto"/>
                  <w:noWrap/>
                  <w:vAlign w:val="bottom"/>
                  <w:hideMark/>
                </w:tcPr>
                <w:p w14:paraId="79242F5D" w14:textId="61D5FDD0" w:rsidR="008318AE" w:rsidRPr="007C1DCD" w:rsidRDefault="008318AE" w:rsidP="004F3D71">
                  <w:pPr>
                    <w:pStyle w:val="RSCT03TableBody"/>
                    <w:framePr w:wrap="around" w:hAnchor="text" w:yAlign="bottom"/>
                    <w:suppressOverlap/>
                    <w:rPr>
                      <w:lang w:val="en-US"/>
                    </w:rPr>
                  </w:pPr>
                  <w:r w:rsidRPr="007C1DCD">
                    <w:rPr>
                      <w:lang w:val="en-US"/>
                    </w:rPr>
                    <w:t>76</w:t>
                  </w:r>
                </w:p>
              </w:tc>
            </w:tr>
          </w:tbl>
          <w:p w14:paraId="56301113" w14:textId="474DC83C" w:rsidR="008318AE" w:rsidRPr="0070029B" w:rsidRDefault="008318AE" w:rsidP="005217BB">
            <w:pPr>
              <w:pStyle w:val="RSCT05TableFootnotewithoutbottombar"/>
              <w:rPr>
                <w:lang w:val="en-US"/>
              </w:rPr>
            </w:pPr>
            <w:r>
              <w:rPr>
                <w:lang w:val="en-US"/>
              </w:rPr>
              <w:t xml:space="preserve">The reaction was carried out on a 1 mmol scale. The </w:t>
            </w:r>
            <w:r w:rsidR="009832FD">
              <w:rPr>
                <w:lang w:val="en-US"/>
              </w:rPr>
              <w:t>synthetic</w:t>
            </w:r>
            <w:r>
              <w:rPr>
                <w:lang w:val="en-US"/>
              </w:rPr>
              <w:t xml:space="preserve"> procedure can be found within the ESI.</w:t>
            </w:r>
          </w:p>
        </w:tc>
      </w:tr>
    </w:tbl>
    <w:p w14:paraId="3A9FE5E2" w14:textId="5DFB4E82" w:rsidR="00722E0C" w:rsidRPr="00CD366A" w:rsidRDefault="00AB085E" w:rsidP="000B50FA">
      <w:pPr>
        <w:pStyle w:val="RSCB02ArticleText"/>
        <w:rPr>
          <w:noProof/>
        </w:rPr>
      </w:pPr>
      <w:r>
        <w:rPr>
          <w:noProof/>
        </w:rPr>
        <w:t xml:space="preserve">Full removal of the acetic acid excess could </w:t>
      </w:r>
      <w:r w:rsidR="001442CA">
        <w:rPr>
          <w:noProof/>
        </w:rPr>
        <w:t xml:space="preserve">only </w:t>
      </w:r>
      <w:r>
        <w:rPr>
          <w:noProof/>
        </w:rPr>
        <w:t xml:space="preserve">be attained via </w:t>
      </w:r>
      <w:r w:rsidR="001442CA">
        <w:rPr>
          <w:noProof/>
        </w:rPr>
        <w:t xml:space="preserve">drying </w:t>
      </w:r>
      <w:r>
        <w:rPr>
          <w:noProof/>
        </w:rPr>
        <w:t xml:space="preserve">the molten sample </w:t>
      </w:r>
      <w:r w:rsidR="001442CA">
        <w:rPr>
          <w:noProof/>
        </w:rPr>
        <w:t xml:space="preserve">under a vigorous flow of air </w:t>
      </w:r>
      <w:r w:rsidR="006B7F9A">
        <w:rPr>
          <w:noProof/>
        </w:rPr>
        <w:t xml:space="preserve">at </w:t>
      </w:r>
      <w:r w:rsidR="00191564">
        <w:rPr>
          <w:noProof/>
        </w:rPr>
        <w:t xml:space="preserve">elevated </w:t>
      </w:r>
      <w:r w:rsidR="006B7F9A">
        <w:rPr>
          <w:noProof/>
        </w:rPr>
        <w:t>temperature</w:t>
      </w:r>
      <w:r w:rsidR="00191564">
        <w:rPr>
          <w:noProof/>
        </w:rPr>
        <w:t>s</w:t>
      </w:r>
      <w:r w:rsidR="006B7F9A">
        <w:rPr>
          <w:noProof/>
        </w:rPr>
        <w:t xml:space="preserve"> (</w:t>
      </w:r>
      <w:r w:rsidR="001442CA">
        <w:rPr>
          <w:noProof/>
        </w:rPr>
        <w:t>95</w:t>
      </w:r>
      <w:r w:rsidR="006B7F9A">
        <w:rPr>
          <w:noProof/>
        </w:rPr>
        <w:t xml:space="preserve"> </w:t>
      </w:r>
      <w:r w:rsidR="006B7F9A">
        <w:rPr>
          <w:rFonts w:cstheme="minorHAnsi"/>
          <w:noProof/>
        </w:rPr>
        <w:t>°</w:t>
      </w:r>
      <w:r w:rsidR="006B7F9A">
        <w:rPr>
          <w:noProof/>
        </w:rPr>
        <w:t>C)</w:t>
      </w:r>
      <w:r>
        <w:rPr>
          <w:noProof/>
        </w:rPr>
        <w:t>.</w:t>
      </w:r>
      <w:r w:rsidR="00DF2E2B">
        <w:rPr>
          <w:noProof/>
        </w:rPr>
        <w:t xml:space="preserve"> The drying of the sample had also an unexpected result</w:t>
      </w:r>
      <w:r w:rsidR="00CD366A">
        <w:rPr>
          <w:noProof/>
        </w:rPr>
        <w:t>,</w:t>
      </w:r>
      <w:r w:rsidR="00DF2E2B">
        <w:rPr>
          <w:noProof/>
        </w:rPr>
        <w:t xml:space="preserve"> a striking change in the color and </w:t>
      </w:r>
      <w:r w:rsidR="00995927">
        <w:rPr>
          <w:noProof/>
        </w:rPr>
        <w:t xml:space="preserve">increased </w:t>
      </w:r>
      <w:r w:rsidR="00DF2E2B">
        <w:rPr>
          <w:noProof/>
        </w:rPr>
        <w:t>transparency of the sample (</w:t>
      </w:r>
      <w:r w:rsidR="00C61A9E">
        <w:t xml:space="preserve">Figure </w:t>
      </w:r>
      <w:r w:rsidR="00C61A9E">
        <w:rPr>
          <w:noProof/>
        </w:rPr>
        <w:t>1</w:t>
      </w:r>
      <w:r w:rsidR="00B80CA1">
        <w:rPr>
          <w:noProof/>
        </w:rPr>
        <w:t xml:space="preserve">, </w:t>
      </w:r>
      <w:r w:rsidR="00DF2E2B">
        <w:rPr>
          <w:noProof/>
        </w:rPr>
        <w:t xml:space="preserve">e.g. </w:t>
      </w:r>
      <w:r w:rsidR="00235D91">
        <w:rPr>
          <w:noProof/>
        </w:rPr>
        <w:t>1,3-</w:t>
      </w:r>
      <w:r w:rsidR="00995927">
        <w:rPr>
          <w:noProof/>
        </w:rPr>
        <w:t>d</w:t>
      </w:r>
      <w:r w:rsidR="00235D91">
        <w:rPr>
          <w:noProof/>
        </w:rPr>
        <w:t>i(d</w:t>
      </w:r>
      <w:r w:rsidR="007D782F">
        <w:rPr>
          <w:noProof/>
        </w:rPr>
        <w:t>ecyl)</w:t>
      </w:r>
      <w:r w:rsidR="00DF2E2B">
        <w:rPr>
          <w:noProof/>
        </w:rPr>
        <w:t>imidazolium acetate turned to a clear light orange after drying</w:t>
      </w:r>
      <w:r w:rsidR="00AB4883">
        <w:rPr>
          <w:noProof/>
        </w:rPr>
        <w:t xml:space="preserve"> from a dark brown opaque color</w:t>
      </w:r>
      <w:r w:rsidR="00DF2E2B">
        <w:rPr>
          <w:noProof/>
        </w:rPr>
        <w:t>)</w:t>
      </w:r>
      <w:r w:rsidR="00B80CA1">
        <w:rPr>
          <w:noProof/>
        </w:rPr>
        <w:t>.</w:t>
      </w:r>
    </w:p>
    <w:p w14:paraId="475D34CB" w14:textId="3108EFC0" w:rsidR="009D133C" w:rsidRDefault="00CD366A" w:rsidP="000B50FA">
      <w:pPr>
        <w:pStyle w:val="RSCB02ArticleText"/>
        <w:rPr>
          <w:noProof/>
        </w:rPr>
      </w:pPr>
      <w:r>
        <w:rPr>
          <w:noProof/>
        </w:rPr>
        <w:t xml:space="preserve">In </w:t>
      </w:r>
      <w:r w:rsidR="00995927">
        <w:rPr>
          <w:noProof/>
        </w:rPr>
        <w:t>an a</w:t>
      </w:r>
      <w:r>
        <w:rPr>
          <w:noProof/>
        </w:rPr>
        <w:t>ttempt to verify i</w:t>
      </w:r>
      <w:r w:rsidR="00A36D14">
        <w:rPr>
          <w:noProof/>
        </w:rPr>
        <w:t>f</w:t>
      </w:r>
      <w:r>
        <w:rPr>
          <w:noProof/>
        </w:rPr>
        <w:t xml:space="preserve"> the excess of acetic acid was actuall</w:t>
      </w:r>
      <w:r w:rsidR="00A36D14">
        <w:rPr>
          <w:noProof/>
        </w:rPr>
        <w:t>y</w:t>
      </w:r>
      <w:r>
        <w:rPr>
          <w:noProof/>
        </w:rPr>
        <w:t xml:space="preserve"> needed, t</w:t>
      </w:r>
      <w:r w:rsidR="00722E0C">
        <w:rPr>
          <w:noProof/>
        </w:rPr>
        <w:t xml:space="preserve">he reaction was </w:t>
      </w:r>
      <w:r>
        <w:rPr>
          <w:noProof/>
        </w:rPr>
        <w:t>repeated</w:t>
      </w:r>
      <w:r w:rsidR="00722E0C">
        <w:rPr>
          <w:noProof/>
        </w:rPr>
        <w:t xml:space="preserve"> with </w:t>
      </w:r>
      <w:r>
        <w:rPr>
          <w:noProof/>
        </w:rPr>
        <w:t xml:space="preserve">only a slight excess </w:t>
      </w:r>
      <w:r w:rsidR="00722E0C">
        <w:rPr>
          <w:noProof/>
        </w:rPr>
        <w:t>of acetic acid</w:t>
      </w:r>
      <w:r>
        <w:rPr>
          <w:noProof/>
        </w:rPr>
        <w:t xml:space="preserve"> (1.05 eq)</w:t>
      </w:r>
      <w:r w:rsidR="00191564">
        <w:rPr>
          <w:noProof/>
        </w:rPr>
        <w:t xml:space="preserve">. </w:t>
      </w:r>
      <w:r>
        <w:rPr>
          <w:noProof/>
        </w:rPr>
        <w:t xml:space="preserve">As it </w:t>
      </w:r>
      <w:r w:rsidRPr="00474438">
        <w:rPr>
          <w:noProof/>
        </w:rPr>
        <w:t>was previously observed with short</w:t>
      </w:r>
      <w:r>
        <w:rPr>
          <w:noProof/>
        </w:rPr>
        <w:t>er</w:t>
      </w:r>
      <w:r w:rsidRPr="00474438">
        <w:rPr>
          <w:noProof/>
        </w:rPr>
        <w:t xml:space="preserve"> chains</w:t>
      </w:r>
      <w:r>
        <w:rPr>
          <w:noProof/>
        </w:rPr>
        <w:t>, t</w:t>
      </w:r>
      <w:r w:rsidR="00191564">
        <w:rPr>
          <w:noProof/>
        </w:rPr>
        <w:t>his modification</w:t>
      </w:r>
      <w:r w:rsidR="00722E0C">
        <w:rPr>
          <w:noProof/>
        </w:rPr>
        <w:t xml:space="preserve"> did not reduce the acid excess but the </w:t>
      </w:r>
      <w:r>
        <w:rPr>
          <w:noProof/>
        </w:rPr>
        <w:t xml:space="preserve">overall </w:t>
      </w:r>
      <w:r w:rsidR="00722E0C">
        <w:rPr>
          <w:noProof/>
        </w:rPr>
        <w:t>yield</w:t>
      </w:r>
      <w:r w:rsidR="00191564" w:rsidRPr="00474438">
        <w:rPr>
          <w:noProof/>
        </w:rPr>
        <w:t>.</w:t>
      </w:r>
      <w:r w:rsidR="00CB1AEF" w:rsidRPr="00CB1AEF">
        <w:rPr>
          <w:noProof/>
          <w:vertAlign w:val="superscript"/>
        </w:rPr>
        <w:t>17</w:t>
      </w:r>
      <w:r w:rsidR="00191564" w:rsidRPr="00474438">
        <w:rPr>
          <w:noProof/>
        </w:rPr>
        <w:t xml:space="preserve"> This </w:t>
      </w:r>
      <w:r w:rsidR="00381409" w:rsidRPr="00474438">
        <w:rPr>
          <w:noProof/>
        </w:rPr>
        <w:t>showed</w:t>
      </w:r>
      <w:r w:rsidR="00191564" w:rsidRPr="00474438">
        <w:rPr>
          <w:noProof/>
        </w:rPr>
        <w:t xml:space="preserve"> </w:t>
      </w:r>
      <w:r w:rsidR="00722E0C" w:rsidRPr="00474438">
        <w:rPr>
          <w:noProof/>
        </w:rPr>
        <w:t xml:space="preserve">that </w:t>
      </w:r>
      <w:r w:rsidR="006B7F9A" w:rsidRPr="00474438">
        <w:rPr>
          <w:noProof/>
        </w:rPr>
        <w:t xml:space="preserve">the </w:t>
      </w:r>
      <w:r w:rsidR="00722E0C" w:rsidRPr="00474438">
        <w:rPr>
          <w:noProof/>
        </w:rPr>
        <w:t xml:space="preserve">acetic acid </w:t>
      </w:r>
      <w:r w:rsidR="00AB085E" w:rsidRPr="00474438">
        <w:rPr>
          <w:noProof/>
        </w:rPr>
        <w:t xml:space="preserve">excess </w:t>
      </w:r>
      <w:r w:rsidR="00722E0C" w:rsidRPr="00474438">
        <w:rPr>
          <w:noProof/>
        </w:rPr>
        <w:t>itself favour</w:t>
      </w:r>
      <w:r w:rsidR="00381409" w:rsidRPr="00474438">
        <w:rPr>
          <w:noProof/>
        </w:rPr>
        <w:t>s</w:t>
      </w:r>
      <w:r w:rsidR="00722E0C" w:rsidRPr="00474438">
        <w:rPr>
          <w:noProof/>
        </w:rPr>
        <w:t xml:space="preserve"> the rea</w:t>
      </w:r>
      <w:r w:rsidR="00563B02" w:rsidRPr="00474438">
        <w:rPr>
          <w:noProof/>
        </w:rPr>
        <w:t>ction completion</w:t>
      </w:r>
      <w:r w:rsidR="00B868CA" w:rsidRPr="00474438">
        <w:rPr>
          <w:noProof/>
        </w:rPr>
        <w:t>.</w:t>
      </w:r>
    </w:p>
    <w:p w14:paraId="468D3687" w14:textId="06980B52" w:rsidR="00CF27BA" w:rsidRDefault="00C53821" w:rsidP="000B50FA">
      <w:pPr>
        <w:pStyle w:val="RSCB02ArticleText"/>
        <w:rPr>
          <w:noProof/>
        </w:rPr>
      </w:pPr>
      <w:r>
        <w:rPr>
          <w:noProof/>
        </w:rPr>
        <w:t>Opposite</w:t>
      </w:r>
      <w:r w:rsidR="0079501F">
        <w:rPr>
          <w:noProof/>
        </w:rPr>
        <w:t xml:space="preserve"> to what </w:t>
      </w:r>
      <w:r w:rsidR="00995927">
        <w:rPr>
          <w:noProof/>
        </w:rPr>
        <w:t xml:space="preserve">has been </w:t>
      </w:r>
      <w:r w:rsidR="0079501F">
        <w:rPr>
          <w:noProof/>
        </w:rPr>
        <w:t xml:space="preserve">previously reported, the </w:t>
      </w:r>
      <w:r w:rsidR="000A43D3">
        <w:rPr>
          <w:noProof/>
        </w:rPr>
        <w:t>solventless</w:t>
      </w:r>
      <w:r w:rsidR="0079501F">
        <w:rPr>
          <w:noProof/>
        </w:rPr>
        <w:t xml:space="preserve"> </w:t>
      </w:r>
      <w:r w:rsidR="009832FD">
        <w:rPr>
          <w:noProof/>
        </w:rPr>
        <w:t>synthetic</w:t>
      </w:r>
      <w:r w:rsidR="0079501F">
        <w:rPr>
          <w:noProof/>
        </w:rPr>
        <w:t xml:space="preserve"> procedure worked with amines up to </w:t>
      </w:r>
      <w:r w:rsidR="00FA7126">
        <w:rPr>
          <w:noProof/>
        </w:rPr>
        <w:t>1-d</w:t>
      </w:r>
      <w:r w:rsidR="0079501F">
        <w:rPr>
          <w:noProof/>
        </w:rPr>
        <w:t xml:space="preserve">odecylamine. </w:t>
      </w:r>
      <w:r w:rsidR="00FA7126">
        <w:rPr>
          <w:noProof/>
        </w:rPr>
        <w:t>1-</w:t>
      </w:r>
      <w:r>
        <w:rPr>
          <w:noProof/>
        </w:rPr>
        <w:t>T</w:t>
      </w:r>
      <w:r w:rsidR="0079501F">
        <w:rPr>
          <w:noProof/>
        </w:rPr>
        <w:t xml:space="preserve">etradecylamine </w:t>
      </w:r>
      <w:r>
        <w:rPr>
          <w:noProof/>
        </w:rPr>
        <w:t xml:space="preserve">and the higher homologues </w:t>
      </w:r>
      <w:r w:rsidR="0079501F">
        <w:rPr>
          <w:noProof/>
        </w:rPr>
        <w:t xml:space="preserve">were not </w:t>
      </w:r>
      <w:r w:rsidR="00AB4883">
        <w:rPr>
          <w:noProof/>
        </w:rPr>
        <w:t>fluid</w:t>
      </w:r>
      <w:r w:rsidR="0079501F">
        <w:rPr>
          <w:noProof/>
        </w:rPr>
        <w:t xml:space="preserve"> </w:t>
      </w:r>
      <w:r w:rsidR="00AB4883">
        <w:rPr>
          <w:noProof/>
        </w:rPr>
        <w:t xml:space="preserve">enough </w:t>
      </w:r>
      <w:r w:rsidR="0079501F">
        <w:rPr>
          <w:noProof/>
        </w:rPr>
        <w:t>to be used without the addition of a solvent able to improve the mixing at room temperature (</w:t>
      </w:r>
      <w:r w:rsidR="00C61A9E">
        <w:t xml:space="preserve">Table </w:t>
      </w:r>
      <w:r w:rsidR="00C61A9E">
        <w:rPr>
          <w:noProof/>
        </w:rPr>
        <w:t>2</w:t>
      </w:r>
      <w:r w:rsidR="0079501F">
        <w:rPr>
          <w:noProof/>
        </w:rPr>
        <w:t xml:space="preserve">). </w:t>
      </w:r>
      <w:r w:rsidR="00CD366A">
        <w:rPr>
          <w:noProof/>
        </w:rPr>
        <w:t xml:space="preserve">To </w:t>
      </w:r>
      <w:r>
        <w:rPr>
          <w:noProof/>
        </w:rPr>
        <w:t>check</w:t>
      </w:r>
      <w:r w:rsidR="00CD366A">
        <w:rPr>
          <w:noProof/>
        </w:rPr>
        <w:t xml:space="preserve"> how </w:t>
      </w:r>
      <w:r w:rsidR="00995927">
        <w:rPr>
          <w:noProof/>
        </w:rPr>
        <w:t>the</w:t>
      </w:r>
      <w:r w:rsidR="00CD366A">
        <w:rPr>
          <w:noProof/>
        </w:rPr>
        <w:t xml:space="preserve"> solvent would affect the system, the reaction was repeated with </w:t>
      </w:r>
      <w:r w:rsidR="00FA7126">
        <w:rPr>
          <w:noProof/>
        </w:rPr>
        <w:t>1-d</w:t>
      </w:r>
      <w:r w:rsidR="00CD366A">
        <w:rPr>
          <w:noProof/>
        </w:rPr>
        <w:t xml:space="preserve">odecylamine </w:t>
      </w:r>
      <w:r w:rsidR="00995927">
        <w:rPr>
          <w:noProof/>
        </w:rPr>
        <w:t>in</w:t>
      </w:r>
      <w:r w:rsidR="00CD366A">
        <w:rPr>
          <w:noProof/>
        </w:rPr>
        <w:t xml:space="preserve"> a </w:t>
      </w:r>
      <w:r w:rsidR="006802A7" w:rsidRPr="00474438">
        <w:rPr>
          <w:noProof/>
        </w:rPr>
        <w:t>series of solvents</w:t>
      </w:r>
      <w:r w:rsidR="00CD366A">
        <w:rPr>
          <w:noProof/>
        </w:rPr>
        <w:t xml:space="preserve"> (</w:t>
      </w:r>
      <w:r w:rsidR="00C61A9E">
        <w:t xml:space="preserve">Table </w:t>
      </w:r>
      <w:r w:rsidR="00C61A9E">
        <w:rPr>
          <w:noProof/>
        </w:rPr>
        <w:t>1</w:t>
      </w:r>
      <w:r w:rsidR="00CD366A">
        <w:rPr>
          <w:noProof/>
        </w:rPr>
        <w:t>).</w:t>
      </w:r>
      <w:r w:rsidR="00CF27BA">
        <w:rPr>
          <w:noProof/>
        </w:rPr>
        <w:t xml:space="preserve"> </w:t>
      </w:r>
      <w:r w:rsidR="00252E77">
        <w:rPr>
          <w:noProof/>
        </w:rPr>
        <w:t xml:space="preserve">The solventless reaction </w:t>
      </w:r>
      <w:r w:rsidR="00BA7D05">
        <w:rPr>
          <w:noProof/>
        </w:rPr>
        <w:t xml:space="preserve">demonstrated </w:t>
      </w:r>
      <w:r w:rsidR="00EE3C17">
        <w:rPr>
          <w:noProof/>
        </w:rPr>
        <w:t xml:space="preserve">to be the </w:t>
      </w:r>
      <w:r w:rsidR="00381409">
        <w:rPr>
          <w:noProof/>
        </w:rPr>
        <w:t xml:space="preserve">one </w:t>
      </w:r>
      <w:r w:rsidR="00995927">
        <w:rPr>
          <w:noProof/>
        </w:rPr>
        <w:t xml:space="preserve">leading to </w:t>
      </w:r>
      <w:r w:rsidR="007E43D6">
        <w:rPr>
          <w:noProof/>
        </w:rPr>
        <w:t>the best yields</w:t>
      </w:r>
      <w:r w:rsidR="00252E77">
        <w:rPr>
          <w:noProof/>
        </w:rPr>
        <w:t>.</w:t>
      </w:r>
      <w:r w:rsidR="00CF27BA" w:rsidRPr="00CF27BA">
        <w:rPr>
          <w:noProof/>
        </w:rPr>
        <w:t xml:space="preserve"> </w:t>
      </w:r>
    </w:p>
    <w:p w14:paraId="2FF6E926" w14:textId="27963002" w:rsidR="00E022C2" w:rsidRDefault="0079501F" w:rsidP="000B50FA">
      <w:pPr>
        <w:pStyle w:val="RSCB02ArticleText"/>
        <w:rPr>
          <w:noProof/>
        </w:rPr>
      </w:pPr>
      <w:r>
        <w:rPr>
          <w:noProof/>
        </w:rPr>
        <w:t xml:space="preserve">With </w:t>
      </w:r>
      <w:r w:rsidR="00995927">
        <w:rPr>
          <w:noProof/>
        </w:rPr>
        <w:t xml:space="preserve">amines </w:t>
      </w:r>
      <w:r w:rsidR="00C53821">
        <w:rPr>
          <w:noProof/>
        </w:rPr>
        <w:t>of</w:t>
      </w:r>
      <w:r w:rsidR="00995927">
        <w:rPr>
          <w:noProof/>
        </w:rPr>
        <w:t xml:space="preserve"> at least </w:t>
      </w:r>
      <w:r>
        <w:rPr>
          <w:noProof/>
        </w:rPr>
        <w:t>14 carbon</w:t>
      </w:r>
      <w:r w:rsidR="00C53821">
        <w:rPr>
          <w:noProof/>
        </w:rPr>
        <w:t xml:space="preserve"> atom</w:t>
      </w:r>
      <w:r>
        <w:rPr>
          <w:noProof/>
        </w:rPr>
        <w:t xml:space="preserve">s the reaction had to be modified in order to yield the desired product in satisfactory amounts. </w:t>
      </w:r>
      <w:r w:rsidR="00CD366A">
        <w:rPr>
          <w:noProof/>
        </w:rPr>
        <w:t xml:space="preserve">Methanol was effective in facilitating the </w:t>
      </w:r>
      <w:r w:rsidR="00995927">
        <w:rPr>
          <w:noProof/>
        </w:rPr>
        <w:t xml:space="preserve">reactivity of </w:t>
      </w:r>
      <w:r w:rsidR="00FA7126">
        <w:rPr>
          <w:noProof/>
        </w:rPr>
        <w:t>1-t</w:t>
      </w:r>
      <w:r w:rsidR="00CD366A">
        <w:rPr>
          <w:noProof/>
        </w:rPr>
        <w:t xml:space="preserve">etradecylamine reactivity but not </w:t>
      </w:r>
      <w:r w:rsidR="00995927">
        <w:rPr>
          <w:noProof/>
        </w:rPr>
        <w:t xml:space="preserve">of </w:t>
      </w:r>
      <w:r w:rsidR="00CD366A">
        <w:rPr>
          <w:noProof/>
        </w:rPr>
        <w:t xml:space="preserve">the </w:t>
      </w:r>
      <w:r w:rsidR="00FA7126">
        <w:rPr>
          <w:noProof/>
        </w:rPr>
        <w:t>1-h</w:t>
      </w:r>
      <w:r w:rsidR="00CD366A">
        <w:rPr>
          <w:noProof/>
        </w:rPr>
        <w:t xml:space="preserve">exadecylamine one. </w:t>
      </w:r>
      <w:r w:rsidR="00431FBB">
        <w:rPr>
          <w:noProof/>
        </w:rPr>
        <w:t xml:space="preserve">Toluene </w:t>
      </w:r>
      <w:r w:rsidR="00995927">
        <w:rPr>
          <w:noProof/>
        </w:rPr>
        <w:t xml:space="preserve">has been </w:t>
      </w:r>
      <w:r w:rsidR="0012363D">
        <w:rPr>
          <w:noProof/>
        </w:rPr>
        <w:t xml:space="preserve">reported </w:t>
      </w:r>
      <w:r w:rsidR="00A23218">
        <w:rPr>
          <w:noProof/>
        </w:rPr>
        <w:t xml:space="preserve">by </w:t>
      </w:r>
      <w:r w:rsidR="00A23218">
        <w:rPr>
          <w:i/>
          <w:noProof/>
        </w:rPr>
        <w:t>A</w:t>
      </w:r>
      <w:r w:rsidR="00A23218" w:rsidRPr="00A23218">
        <w:rPr>
          <w:i/>
          <w:noProof/>
        </w:rPr>
        <w:t>rduengo et al.</w:t>
      </w:r>
      <w:r w:rsidR="006802A7">
        <w:rPr>
          <w:noProof/>
        </w:rPr>
        <w:t xml:space="preserve"> as </w:t>
      </w:r>
      <w:r w:rsidR="00995927">
        <w:rPr>
          <w:noProof/>
        </w:rPr>
        <w:t xml:space="preserve">a </w:t>
      </w:r>
      <w:r w:rsidR="006802A7">
        <w:rPr>
          <w:noProof/>
        </w:rPr>
        <w:t xml:space="preserve">convenient </w:t>
      </w:r>
      <w:r w:rsidR="00995927">
        <w:rPr>
          <w:noProof/>
        </w:rPr>
        <w:t>medium</w:t>
      </w:r>
      <w:r w:rsidR="006802A7">
        <w:rPr>
          <w:noProof/>
        </w:rPr>
        <w:t xml:space="preserve"> </w:t>
      </w:r>
      <w:r w:rsidR="00A23218">
        <w:rPr>
          <w:noProof/>
        </w:rPr>
        <w:t>f</w:t>
      </w:r>
      <w:r w:rsidR="006802A7">
        <w:rPr>
          <w:noProof/>
        </w:rPr>
        <w:t>or this type of reactions</w:t>
      </w:r>
      <w:r w:rsidR="0012363D">
        <w:rPr>
          <w:noProof/>
        </w:rPr>
        <w:t>,</w:t>
      </w:r>
      <w:r w:rsidR="006802A7">
        <w:rPr>
          <w:noProof/>
        </w:rPr>
        <w:t xml:space="preserve"> </w:t>
      </w:r>
      <w:r w:rsidR="00995927">
        <w:rPr>
          <w:noProof/>
        </w:rPr>
        <w:t xml:space="preserve">as it is </w:t>
      </w:r>
      <w:r w:rsidR="006802A7">
        <w:rPr>
          <w:noProof/>
        </w:rPr>
        <w:t>miscible with both polar and apolar materials</w:t>
      </w:r>
      <w:r w:rsidR="00AA4977">
        <w:rPr>
          <w:noProof/>
        </w:rPr>
        <w:t>.</w:t>
      </w:r>
      <w:r w:rsidR="00CB1AEF" w:rsidRPr="00CB1AEF">
        <w:rPr>
          <w:noProof/>
          <w:vertAlign w:val="superscript"/>
        </w:rPr>
        <w:t>16</w:t>
      </w:r>
      <w:r w:rsidR="006802A7">
        <w:rPr>
          <w:noProof/>
        </w:rPr>
        <w:t xml:space="preserve"> </w:t>
      </w:r>
      <w:r w:rsidR="00B91CD5">
        <w:rPr>
          <w:noProof/>
        </w:rPr>
        <w:t>Although t</w:t>
      </w:r>
      <w:r w:rsidR="006802A7">
        <w:rPr>
          <w:noProof/>
        </w:rPr>
        <w:t xml:space="preserve">oluene allowed for the synthesis of the </w:t>
      </w:r>
      <w:r w:rsidR="00235D91">
        <w:rPr>
          <w:noProof/>
        </w:rPr>
        <w:t>1,3-</w:t>
      </w:r>
      <w:r w:rsidR="00995927">
        <w:rPr>
          <w:noProof/>
        </w:rPr>
        <w:t>d</w:t>
      </w:r>
      <w:r w:rsidR="00235D91">
        <w:rPr>
          <w:noProof/>
        </w:rPr>
        <w:t>i(h</w:t>
      </w:r>
      <w:r w:rsidR="007D782F">
        <w:rPr>
          <w:noProof/>
        </w:rPr>
        <w:t>exadecyl)</w:t>
      </w:r>
      <w:r w:rsidR="006802A7">
        <w:rPr>
          <w:noProof/>
        </w:rPr>
        <w:t>imidazolium acetate derivative</w:t>
      </w:r>
      <w:r w:rsidR="00B91CD5">
        <w:rPr>
          <w:noProof/>
        </w:rPr>
        <w:t>,</w:t>
      </w:r>
      <w:r w:rsidR="006802A7">
        <w:rPr>
          <w:noProof/>
        </w:rPr>
        <w:t xml:space="preserve"> it </w:t>
      </w:r>
      <w:r w:rsidR="003A7981">
        <w:rPr>
          <w:noProof/>
        </w:rPr>
        <w:t>was</w:t>
      </w:r>
      <w:r w:rsidR="006802A7">
        <w:rPr>
          <w:noProof/>
        </w:rPr>
        <w:t xml:space="preserve"> </w:t>
      </w:r>
      <w:r w:rsidR="00995927">
        <w:rPr>
          <w:noProof/>
        </w:rPr>
        <w:t xml:space="preserve">only </w:t>
      </w:r>
      <w:r w:rsidR="00B91CD5">
        <w:rPr>
          <w:noProof/>
        </w:rPr>
        <w:t xml:space="preserve">marginally </w:t>
      </w:r>
      <w:r w:rsidR="003A7981">
        <w:rPr>
          <w:noProof/>
        </w:rPr>
        <w:t>effective</w:t>
      </w:r>
      <w:r w:rsidR="006802A7">
        <w:rPr>
          <w:noProof/>
        </w:rPr>
        <w:t xml:space="preserve"> </w:t>
      </w:r>
      <w:r w:rsidR="003A7981">
        <w:rPr>
          <w:noProof/>
        </w:rPr>
        <w:t>for</w:t>
      </w:r>
      <w:r w:rsidR="006802A7">
        <w:rPr>
          <w:noProof/>
        </w:rPr>
        <w:t xml:space="preserve"> </w:t>
      </w:r>
      <w:r w:rsidR="00FA7126">
        <w:rPr>
          <w:noProof/>
        </w:rPr>
        <w:t>1-o</w:t>
      </w:r>
      <w:r w:rsidR="00E022C2">
        <w:rPr>
          <w:noProof/>
        </w:rPr>
        <w:t>ctadecylamine</w:t>
      </w:r>
      <w:r w:rsidR="006802A7">
        <w:rPr>
          <w:noProof/>
        </w:rPr>
        <w:t xml:space="preserve"> and </w:t>
      </w:r>
      <w:r w:rsidR="003A7981">
        <w:rPr>
          <w:noProof/>
        </w:rPr>
        <w:t>the isolation of</w:t>
      </w:r>
      <w:r w:rsidR="006802A7">
        <w:rPr>
          <w:noProof/>
        </w:rPr>
        <w:t xml:space="preserve"> the final product</w:t>
      </w:r>
      <w:r w:rsidR="00A23218">
        <w:rPr>
          <w:noProof/>
        </w:rPr>
        <w:t xml:space="preserve"> </w:t>
      </w:r>
      <w:r w:rsidR="003A7981">
        <w:rPr>
          <w:noProof/>
        </w:rPr>
        <w:t xml:space="preserve">was not possible </w:t>
      </w:r>
      <w:r w:rsidR="00A23218">
        <w:rPr>
          <w:noProof/>
        </w:rPr>
        <w:t xml:space="preserve">for </w:t>
      </w:r>
      <w:r w:rsidR="00235D91">
        <w:rPr>
          <w:noProof/>
        </w:rPr>
        <w:t>1,3-</w:t>
      </w:r>
      <w:r w:rsidR="00995927">
        <w:rPr>
          <w:noProof/>
        </w:rPr>
        <w:t>d</w:t>
      </w:r>
      <w:r w:rsidR="00235D91">
        <w:rPr>
          <w:noProof/>
        </w:rPr>
        <w:t>i(o</w:t>
      </w:r>
      <w:r w:rsidR="00CD366A">
        <w:rPr>
          <w:noProof/>
        </w:rPr>
        <w:t>ctadecyl</w:t>
      </w:r>
      <w:r w:rsidR="00936546">
        <w:rPr>
          <w:noProof/>
        </w:rPr>
        <w:t>)</w:t>
      </w:r>
      <w:r w:rsidR="00CD366A">
        <w:rPr>
          <w:noProof/>
        </w:rPr>
        <w:t xml:space="preserve">imidazolium acetate. This result </w:t>
      </w:r>
      <w:r w:rsidR="00C136F4">
        <w:rPr>
          <w:noProof/>
        </w:rPr>
        <w:t xml:space="preserve">was ascribed </w:t>
      </w:r>
      <w:r w:rsidR="00CD366A">
        <w:rPr>
          <w:noProof/>
        </w:rPr>
        <w:t xml:space="preserve">to </w:t>
      </w:r>
      <w:r w:rsidR="007360BB">
        <w:rPr>
          <w:noProof/>
        </w:rPr>
        <w:t>the reduced solubility</w:t>
      </w:r>
      <w:r w:rsidR="00A36D14">
        <w:rPr>
          <w:noProof/>
        </w:rPr>
        <w:t xml:space="preserve"> of the </w:t>
      </w:r>
      <w:r w:rsidR="00FA7126">
        <w:rPr>
          <w:noProof/>
        </w:rPr>
        <w:t>1-o</w:t>
      </w:r>
      <w:r w:rsidR="00E022C2">
        <w:rPr>
          <w:noProof/>
        </w:rPr>
        <w:t>ctadecylamine</w:t>
      </w:r>
      <w:r w:rsidR="00A36D14">
        <w:rPr>
          <w:noProof/>
        </w:rPr>
        <w:t xml:space="preserve"> in toluene, which </w:t>
      </w:r>
      <w:r w:rsidR="00B91CD5">
        <w:rPr>
          <w:noProof/>
        </w:rPr>
        <w:t xml:space="preserve">may </w:t>
      </w:r>
      <w:r w:rsidR="00AB4883">
        <w:rPr>
          <w:noProof/>
        </w:rPr>
        <w:t xml:space="preserve">have </w:t>
      </w:r>
      <w:r w:rsidR="00B91CD5">
        <w:rPr>
          <w:noProof/>
        </w:rPr>
        <w:t>impede</w:t>
      </w:r>
      <w:r w:rsidR="00AB4883">
        <w:rPr>
          <w:noProof/>
        </w:rPr>
        <w:t>d</w:t>
      </w:r>
      <w:r w:rsidR="00CD366A">
        <w:rPr>
          <w:noProof/>
        </w:rPr>
        <w:t xml:space="preserve"> the reaction</w:t>
      </w:r>
      <w:r w:rsidR="00B91CD5">
        <w:rPr>
          <w:noProof/>
        </w:rPr>
        <w:t xml:space="preserve"> progression</w:t>
      </w:r>
      <w:r w:rsidR="0012363D">
        <w:rPr>
          <w:noProof/>
        </w:rPr>
        <w:t>.</w:t>
      </w:r>
    </w:p>
    <w:p w14:paraId="2B0A448B" w14:textId="2E4B22EC" w:rsidR="009B0B82" w:rsidRDefault="00CC7CF9" w:rsidP="000B50FA">
      <w:pPr>
        <w:pStyle w:val="RSCB02ArticleText"/>
        <w:rPr>
          <w:noProof/>
        </w:rPr>
      </w:pPr>
      <w:r>
        <w:rPr>
          <w:noProof/>
        </w:rPr>
        <w:t xml:space="preserve">Differently from the </w:t>
      </w:r>
      <w:r w:rsidR="008318E7">
        <w:rPr>
          <w:noProof/>
        </w:rPr>
        <w:t xml:space="preserve">results of </w:t>
      </w:r>
      <w:r w:rsidR="00612304" w:rsidRPr="00E92682">
        <w:rPr>
          <w:noProof/>
        </w:rPr>
        <w:t>Depuydt</w:t>
      </w:r>
      <w:r w:rsidR="008318E7" w:rsidRPr="00E92682">
        <w:rPr>
          <w:noProof/>
        </w:rPr>
        <w:t xml:space="preserve"> et al.</w:t>
      </w:r>
      <w:r w:rsidR="00E15B99" w:rsidRPr="00E92682">
        <w:rPr>
          <w:noProof/>
        </w:rPr>
        <w:t>,</w:t>
      </w:r>
      <w:r w:rsidR="00E15B99">
        <w:rPr>
          <w:noProof/>
        </w:rPr>
        <w:t xml:space="preserve"> </w:t>
      </w:r>
      <w:r>
        <w:rPr>
          <w:noProof/>
        </w:rPr>
        <w:t xml:space="preserve">there </w:t>
      </w:r>
      <w:r w:rsidR="00DE455B">
        <w:rPr>
          <w:noProof/>
        </w:rPr>
        <w:t>wa</w:t>
      </w:r>
      <w:r>
        <w:rPr>
          <w:noProof/>
        </w:rPr>
        <w:t>s not a steady reduction in the isolate</w:t>
      </w:r>
      <w:r w:rsidR="000A43D3">
        <w:rPr>
          <w:noProof/>
        </w:rPr>
        <w:t>d</w:t>
      </w:r>
      <w:r>
        <w:rPr>
          <w:noProof/>
        </w:rPr>
        <w:t xml:space="preserve"> yield t</w:t>
      </w:r>
      <w:r w:rsidR="000A43D3">
        <w:rPr>
          <w:noProof/>
        </w:rPr>
        <w:t>h</w:t>
      </w:r>
      <w:r>
        <w:rPr>
          <w:noProof/>
        </w:rPr>
        <w:t>rought the series of the amines</w:t>
      </w:r>
      <w:r w:rsidR="00A279BF">
        <w:rPr>
          <w:noProof/>
        </w:rPr>
        <w:t xml:space="preserve"> </w:t>
      </w:r>
      <w:r w:rsidR="007360BB">
        <w:rPr>
          <w:noProof/>
        </w:rPr>
        <w:t>but a</w:t>
      </w:r>
      <w:r>
        <w:rPr>
          <w:noProof/>
        </w:rPr>
        <w:t xml:space="preserve"> marked reduction between </w:t>
      </w:r>
      <w:r w:rsidR="00FA7126">
        <w:rPr>
          <w:noProof/>
        </w:rPr>
        <w:t>1-d</w:t>
      </w:r>
      <w:r w:rsidRPr="00CC7CF9">
        <w:rPr>
          <w:noProof/>
        </w:rPr>
        <w:t>ecylamine</w:t>
      </w:r>
      <w:r>
        <w:rPr>
          <w:noProof/>
        </w:rPr>
        <w:t xml:space="preserve"> and </w:t>
      </w:r>
      <w:r w:rsidR="00FA7126">
        <w:rPr>
          <w:noProof/>
        </w:rPr>
        <w:t>1-d</w:t>
      </w:r>
      <w:r>
        <w:rPr>
          <w:noProof/>
        </w:rPr>
        <w:t>od</w:t>
      </w:r>
      <w:r w:rsidRPr="00CC7CF9">
        <w:rPr>
          <w:noProof/>
        </w:rPr>
        <w:t>ecylamine</w:t>
      </w:r>
      <w:r w:rsidR="00CD366A">
        <w:rPr>
          <w:noProof/>
        </w:rPr>
        <w:t xml:space="preserve"> (</w:t>
      </w:r>
      <w:r w:rsidR="00C61A9E">
        <w:t xml:space="preserve">Table </w:t>
      </w:r>
      <w:r w:rsidR="00C61A9E">
        <w:rPr>
          <w:noProof/>
        </w:rPr>
        <w:t>2</w:t>
      </w:r>
      <w:r w:rsidR="00CD366A">
        <w:rPr>
          <w:noProof/>
        </w:rPr>
        <w:t>). This</w:t>
      </w:r>
      <w:r>
        <w:rPr>
          <w:noProof/>
        </w:rPr>
        <w:t xml:space="preserve"> seems </w:t>
      </w:r>
      <w:r w:rsidR="00E92682">
        <w:rPr>
          <w:noProof/>
        </w:rPr>
        <w:t>to be a result of</w:t>
      </w:r>
      <w:r>
        <w:rPr>
          <w:noProof/>
        </w:rPr>
        <w:t xml:space="preserve"> </w:t>
      </w:r>
      <w:r w:rsidR="00CD366A">
        <w:rPr>
          <w:noProof/>
        </w:rPr>
        <w:t>a</w:t>
      </w:r>
      <w:r>
        <w:rPr>
          <w:noProof/>
        </w:rPr>
        <w:t xml:space="preserve"> poorer mixing</w:t>
      </w:r>
      <w:r w:rsidR="00DE455B">
        <w:rPr>
          <w:noProof/>
        </w:rPr>
        <w:t>,</w:t>
      </w:r>
      <w:r>
        <w:rPr>
          <w:noProof/>
        </w:rPr>
        <w:t xml:space="preserve"> caused by the </w:t>
      </w:r>
      <w:r w:rsidR="00E92682">
        <w:rPr>
          <w:noProof/>
        </w:rPr>
        <w:t>fact that</w:t>
      </w:r>
      <w:r>
        <w:rPr>
          <w:noProof/>
        </w:rPr>
        <w:t xml:space="preserve"> </w:t>
      </w:r>
      <w:r w:rsidR="00FA7126">
        <w:rPr>
          <w:noProof/>
        </w:rPr>
        <w:t>1-d</w:t>
      </w:r>
      <w:r>
        <w:rPr>
          <w:noProof/>
        </w:rPr>
        <w:t>od</w:t>
      </w:r>
      <w:r w:rsidRPr="00CC7CF9">
        <w:rPr>
          <w:noProof/>
        </w:rPr>
        <w:t>ecylamine</w:t>
      </w:r>
      <w:r>
        <w:rPr>
          <w:noProof/>
        </w:rPr>
        <w:t xml:space="preserve"> </w:t>
      </w:r>
      <w:r w:rsidR="00E92682">
        <w:rPr>
          <w:noProof/>
        </w:rPr>
        <w:t xml:space="preserve">is a solid </w:t>
      </w:r>
      <w:r>
        <w:rPr>
          <w:noProof/>
        </w:rPr>
        <w:t>(</w:t>
      </w:r>
      <w:r w:rsidR="00E92682">
        <w:rPr>
          <w:noProof/>
        </w:rPr>
        <w:t xml:space="preserve">m.p. </w:t>
      </w:r>
      <w:r>
        <w:rPr>
          <w:noProof/>
        </w:rPr>
        <w:lastRenderedPageBreak/>
        <w:t xml:space="preserve">27-29 </w:t>
      </w:r>
      <w:r>
        <w:rPr>
          <w:rFonts w:cstheme="minorHAnsi"/>
          <w:noProof/>
        </w:rPr>
        <w:t>°</w:t>
      </w:r>
      <w:r>
        <w:rPr>
          <w:noProof/>
        </w:rPr>
        <w:t>C)</w:t>
      </w:r>
      <w:r w:rsidR="00DE455B">
        <w:rPr>
          <w:noProof/>
        </w:rPr>
        <w:t>,</w:t>
      </w:r>
      <w:r w:rsidR="000A43D3">
        <w:rPr>
          <w:noProof/>
        </w:rPr>
        <w:t xml:space="preserve"> rather</w:t>
      </w:r>
      <w:r w:rsidR="008318E7">
        <w:rPr>
          <w:noProof/>
        </w:rPr>
        <w:t xml:space="preserve"> than </w:t>
      </w:r>
      <w:r w:rsidR="00E15B99">
        <w:rPr>
          <w:noProof/>
        </w:rPr>
        <w:t xml:space="preserve">to </w:t>
      </w:r>
      <w:r w:rsidR="008318E7">
        <w:rPr>
          <w:noProof/>
        </w:rPr>
        <w:t xml:space="preserve">a </w:t>
      </w:r>
      <w:r w:rsidR="004C4A86">
        <w:rPr>
          <w:noProof/>
        </w:rPr>
        <w:t>lim</w:t>
      </w:r>
      <w:r w:rsidR="00E15B99">
        <w:rPr>
          <w:noProof/>
        </w:rPr>
        <w:t>i</w:t>
      </w:r>
      <w:r w:rsidR="004C4A86">
        <w:rPr>
          <w:noProof/>
        </w:rPr>
        <w:t>ted</w:t>
      </w:r>
      <w:r w:rsidR="008318E7">
        <w:rPr>
          <w:noProof/>
        </w:rPr>
        <w:t xml:space="preserve"> applicability of the isolation methodology</w:t>
      </w:r>
      <w:r>
        <w:rPr>
          <w:noProof/>
        </w:rPr>
        <w:t>.</w:t>
      </w:r>
      <w:r w:rsidR="00D15268">
        <w:rPr>
          <w:rStyle w:val="FootnoteReference"/>
          <w:noProof/>
        </w:rPr>
        <w:fldChar w:fldCharType="begin" w:fldLock="1"/>
      </w:r>
      <w:r w:rsidR="00D15268">
        <w:rPr>
          <w:noProof/>
        </w:rPr>
        <w:instrText>ADDIN CSL_CITATION {"citationItems":[{"id":"ITEM-1","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Advances","id":"ITEM-1","issue":"11","issued":{"date-parts":[["2016"]]},"page":"8848-8859","publisher":"Royal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mendeley":{"formattedCitation":"&lt;sup&gt;17&lt;/sup&gt;","plainTextFormattedCitation":"17","previouslyFormattedCitation":"&lt;sup&gt;17&lt;/sup&gt;"},"properties":{"noteIndex":0},"schema":"https://github.com/citation-style-language/schema/raw/master/csl-citation.json"}</w:instrText>
      </w:r>
      <w:r w:rsidR="00D15268">
        <w:rPr>
          <w:rStyle w:val="FootnoteReference"/>
          <w:noProof/>
        </w:rPr>
        <w:fldChar w:fldCharType="separate"/>
      </w:r>
      <w:r w:rsidR="00D15268" w:rsidRPr="00CB1AEF">
        <w:rPr>
          <w:noProof/>
          <w:vertAlign w:val="superscript"/>
        </w:rPr>
        <w:t>17</w:t>
      </w:r>
      <w:r w:rsidR="00D15268">
        <w:rPr>
          <w:rStyle w:val="FootnoteReference"/>
          <w:noProof/>
        </w:rPr>
        <w:fldChar w:fldCharType="end"/>
      </w:r>
    </w:p>
    <w:p w14:paraId="22C4A959" w14:textId="63C99576" w:rsidR="00CD366A" w:rsidRDefault="00E92682" w:rsidP="000B50FA">
      <w:pPr>
        <w:pStyle w:val="RSCB02ArticleText"/>
        <w:rPr>
          <w:noProof/>
        </w:rPr>
      </w:pPr>
      <w:r>
        <w:rPr>
          <w:noProof/>
        </w:rPr>
        <w:t>However</w:t>
      </w:r>
      <w:r w:rsidR="00A36D14">
        <w:rPr>
          <w:noProof/>
        </w:rPr>
        <w:t xml:space="preserve">, </w:t>
      </w:r>
      <w:r>
        <w:rPr>
          <w:noProof/>
        </w:rPr>
        <w:t>i</w:t>
      </w:r>
      <w:r w:rsidR="00A36D14">
        <w:rPr>
          <w:noProof/>
        </w:rPr>
        <w:t xml:space="preserve">t </w:t>
      </w:r>
      <w:r w:rsidR="00C53821">
        <w:rPr>
          <w:noProof/>
        </w:rPr>
        <w:t xml:space="preserve">we found quite </w:t>
      </w:r>
      <w:r w:rsidR="00A36D14">
        <w:rPr>
          <w:noProof/>
        </w:rPr>
        <w:t xml:space="preserve">surprising that even for clearly </w:t>
      </w:r>
      <w:r w:rsidR="0088088E">
        <w:rPr>
          <w:noProof/>
        </w:rPr>
        <w:t>heterogeneous</w:t>
      </w:r>
      <w:r w:rsidR="00A36D14">
        <w:rPr>
          <w:noProof/>
        </w:rPr>
        <w:t xml:space="preserve"> systems the reaction performed so well (i.e. </w:t>
      </w:r>
      <w:r w:rsidR="00FA7126">
        <w:rPr>
          <w:noProof/>
        </w:rPr>
        <w:t>1-d</w:t>
      </w:r>
      <w:r w:rsidR="00A36D14">
        <w:rPr>
          <w:noProof/>
        </w:rPr>
        <w:t xml:space="preserve">odecylamine and </w:t>
      </w:r>
      <w:r w:rsidR="00FA7126">
        <w:rPr>
          <w:noProof/>
        </w:rPr>
        <w:t>1-t</w:t>
      </w:r>
      <w:r w:rsidR="00A36D14">
        <w:rPr>
          <w:noProof/>
        </w:rPr>
        <w:t xml:space="preserve">etradecylamine). </w:t>
      </w:r>
      <w:r w:rsidR="00CD366A">
        <w:rPr>
          <w:noProof/>
        </w:rPr>
        <w:t xml:space="preserve">To understand why the </w:t>
      </w:r>
      <w:r w:rsidR="000A43D3">
        <w:rPr>
          <w:noProof/>
        </w:rPr>
        <w:t>solventless</w:t>
      </w:r>
      <w:r w:rsidR="00CD366A">
        <w:rPr>
          <w:noProof/>
        </w:rPr>
        <w:t xml:space="preserve"> procedure was favoured with respect to any of the other tested, we </w:t>
      </w:r>
      <w:r w:rsidR="00C53821">
        <w:rPr>
          <w:noProof/>
        </w:rPr>
        <w:t xml:space="preserve">investigated </w:t>
      </w:r>
      <w:r w:rsidR="00CD366A">
        <w:rPr>
          <w:noProof/>
        </w:rPr>
        <w:t xml:space="preserve">the reaction </w:t>
      </w:r>
      <w:r w:rsidR="00C53821">
        <w:rPr>
          <w:noProof/>
        </w:rPr>
        <w:t xml:space="preserve">in detail, </w:t>
      </w:r>
      <w:r w:rsidR="00CD366A">
        <w:rPr>
          <w:noProof/>
        </w:rPr>
        <w:t xml:space="preserve">step by step. </w:t>
      </w:r>
      <w:r>
        <w:rPr>
          <w:noProof/>
        </w:rPr>
        <w:t xml:space="preserve">It may be pointed out </w:t>
      </w:r>
      <w:r w:rsidR="00CD366A">
        <w:rPr>
          <w:noProof/>
        </w:rPr>
        <w:t xml:space="preserve">that </w:t>
      </w:r>
      <w:r w:rsidR="00136FBE">
        <w:rPr>
          <w:noProof/>
        </w:rPr>
        <w:t xml:space="preserve">actually </w:t>
      </w:r>
      <w:r w:rsidR="00CD366A">
        <w:rPr>
          <w:noProof/>
        </w:rPr>
        <w:t xml:space="preserve">the ‘neat’ reaction conditions are </w:t>
      </w:r>
      <w:r w:rsidR="00136FBE">
        <w:rPr>
          <w:noProof/>
        </w:rPr>
        <w:t xml:space="preserve">not </w:t>
      </w:r>
      <w:r w:rsidR="000A43D3">
        <w:rPr>
          <w:noProof/>
        </w:rPr>
        <w:t xml:space="preserve">striclty </w:t>
      </w:r>
      <w:r w:rsidR="00CD366A">
        <w:rPr>
          <w:noProof/>
        </w:rPr>
        <w:t xml:space="preserve">solventless. Formaldehyde and glyoxal </w:t>
      </w:r>
      <w:r w:rsidR="00B03ADD">
        <w:rPr>
          <w:noProof/>
        </w:rPr>
        <w:t>were</w:t>
      </w:r>
      <w:r w:rsidR="00CD366A">
        <w:rPr>
          <w:noProof/>
        </w:rPr>
        <w:t xml:space="preserve"> used as aqueous solutions (36 and 4</w:t>
      </w:r>
      <w:r w:rsidR="009A3BB0">
        <w:rPr>
          <w:noProof/>
        </w:rPr>
        <w:t>0%</w:t>
      </w:r>
      <w:r w:rsidR="00CD366A">
        <w:rPr>
          <w:noProof/>
        </w:rPr>
        <w:t xml:space="preserve"> w/w, respectively)</w:t>
      </w:r>
      <w:r w:rsidR="00C136F4">
        <w:rPr>
          <w:noProof/>
        </w:rPr>
        <w:t>; therefore, t</w:t>
      </w:r>
      <w:r w:rsidR="00CD366A">
        <w:rPr>
          <w:noProof/>
        </w:rPr>
        <w:t xml:space="preserve">he solventless system </w:t>
      </w:r>
      <w:r w:rsidR="00B03ADD">
        <w:rPr>
          <w:noProof/>
        </w:rPr>
        <w:t>was</w:t>
      </w:r>
      <w:r w:rsidR="00CD366A">
        <w:rPr>
          <w:noProof/>
        </w:rPr>
        <w:t xml:space="preserve"> a concentrated aqueous system with minor traces of methanol, which </w:t>
      </w:r>
      <w:r w:rsidR="00B03ADD">
        <w:rPr>
          <w:noProof/>
        </w:rPr>
        <w:t>was</w:t>
      </w:r>
      <w:r w:rsidR="00CD366A">
        <w:rPr>
          <w:noProof/>
        </w:rPr>
        <w:t xml:space="preserve"> </w:t>
      </w:r>
      <w:r w:rsidR="00B03ADD">
        <w:rPr>
          <w:noProof/>
        </w:rPr>
        <w:t>present</w:t>
      </w:r>
      <w:r w:rsidR="00CD366A">
        <w:rPr>
          <w:noProof/>
        </w:rPr>
        <w:t xml:space="preserve"> as formaldehyde stabilizer.</w:t>
      </w:r>
    </w:p>
    <w:p w14:paraId="2609F010" w14:textId="6CC6E631" w:rsidR="009B29B9" w:rsidRDefault="00CD366A" w:rsidP="000B50FA">
      <w:pPr>
        <w:pStyle w:val="RSCB02ArticleText"/>
        <w:rPr>
          <w:noProof/>
        </w:rPr>
      </w:pPr>
      <w:r>
        <w:rPr>
          <w:noProof/>
        </w:rPr>
        <w:t xml:space="preserve">Visual observation of the reaction mixture allowed us to notice a detail </w:t>
      </w:r>
      <w:r w:rsidR="00B03ADD">
        <w:rPr>
          <w:noProof/>
        </w:rPr>
        <w:t>which</w:t>
      </w:r>
      <w:r>
        <w:rPr>
          <w:noProof/>
        </w:rPr>
        <w:t xml:space="preserve"> in previous studies</w:t>
      </w:r>
      <w:r w:rsidR="00B03ADD" w:rsidRPr="00B03ADD">
        <w:rPr>
          <w:noProof/>
        </w:rPr>
        <w:t xml:space="preserve"> </w:t>
      </w:r>
      <w:r w:rsidR="00B03ADD">
        <w:rPr>
          <w:noProof/>
        </w:rPr>
        <w:t>got overlooked</w:t>
      </w:r>
      <w:r>
        <w:rPr>
          <w:noProof/>
        </w:rPr>
        <w:t>. The addition of the formaldehyde and acetic acid mixture to the cold amine caused the formation of a biphasic system (</w:t>
      </w:r>
      <w:r w:rsidR="00C61A9E">
        <w:t xml:space="preserve">Figure </w:t>
      </w:r>
      <w:r w:rsidR="00C61A9E">
        <w:rPr>
          <w:noProof/>
        </w:rPr>
        <w:t>2</w:t>
      </w:r>
      <w:r>
        <w:rPr>
          <w:noProof/>
        </w:rPr>
        <w:t xml:space="preserve">). To understand what phased out, the top layer was sampled and analysed via </w:t>
      </w:r>
      <w:r w:rsidRPr="00564387">
        <w:t>¹</w:t>
      </w:r>
      <w:r>
        <w:rPr>
          <w:noProof/>
        </w:rPr>
        <w:t xml:space="preserve">H NMR. The analysis showed the top layer to be consisting of the virtually pure </w:t>
      </w:r>
      <w:r w:rsidR="00C05F41">
        <w:rPr>
          <w:noProof/>
        </w:rPr>
        <w:t>1,3,5-trialkylhexahydro-1,3,5-triazine</w:t>
      </w:r>
      <w:r>
        <w:rPr>
          <w:noProof/>
        </w:rPr>
        <w:t>, formed in-situ from the reac</w:t>
      </w:r>
      <w:r w:rsidR="00E92682">
        <w:rPr>
          <w:noProof/>
        </w:rPr>
        <w:t>t</w:t>
      </w:r>
      <w:r>
        <w:rPr>
          <w:noProof/>
        </w:rPr>
        <w:t xml:space="preserve">ion </w:t>
      </w:r>
      <w:r w:rsidR="00E92682">
        <w:rPr>
          <w:noProof/>
        </w:rPr>
        <w:t xml:space="preserve">of formaldehyde </w:t>
      </w:r>
      <w:r>
        <w:rPr>
          <w:noProof/>
        </w:rPr>
        <w:t xml:space="preserve">with the amine. This </w:t>
      </w:r>
      <w:r w:rsidR="00E92682">
        <w:rPr>
          <w:noProof/>
        </w:rPr>
        <w:t xml:space="preserve">may explain </w:t>
      </w:r>
      <w:r>
        <w:rPr>
          <w:noProof/>
        </w:rPr>
        <w:t>the reaction effectiveness under neat conditions</w:t>
      </w:r>
      <w:r w:rsidR="009B0B82">
        <w:rPr>
          <w:noProof/>
        </w:rPr>
        <w:t xml:space="preserve"> and give further insights on the </w:t>
      </w:r>
      <w:r w:rsidR="00C830B6">
        <w:rPr>
          <w:noProof/>
        </w:rPr>
        <w:t xml:space="preserve">mechanism of the </w:t>
      </w:r>
      <w:r w:rsidR="009B0B82">
        <w:rPr>
          <w:noProof/>
        </w:rPr>
        <w:t>reaction (</w:t>
      </w:r>
      <w:r w:rsidR="009B0B82">
        <w:t xml:space="preserve">Scheme </w:t>
      </w:r>
      <w:r w:rsidR="009B0B82">
        <w:rPr>
          <w:noProof/>
        </w:rPr>
        <w:t>4)</w:t>
      </w:r>
      <w:r>
        <w:rPr>
          <w:noProof/>
        </w:rPr>
        <w:t xml:space="preserve">. The segregation of the reagents in two </w:t>
      </w:r>
      <w:r>
        <w:rPr>
          <w:noProof/>
        </w:rPr>
        <w:t>distinct layers impedes potential side reactions, contributing to the reaction selectivity and high yield.</w:t>
      </w:r>
    </w:p>
    <w:tbl>
      <w:tblPr>
        <w:tblStyle w:val="TableGrid"/>
        <w:tblpPr w:bottomFromText="181" w:tblpXSpec="right" w:tblpY="182"/>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9"/>
      </w:tblGrid>
      <w:tr w:rsidR="00A8585E" w:rsidRPr="0099372D" w14:paraId="2342BB75" w14:textId="77777777" w:rsidTr="00113009">
        <w:trPr>
          <w:trHeight w:val="20"/>
        </w:trPr>
        <w:tc>
          <w:tcPr>
            <w:tcW w:w="4989" w:type="dxa"/>
            <w:vAlign w:val="center"/>
          </w:tcPr>
          <w:p w14:paraId="4267CD7B" w14:textId="77777777" w:rsidR="00A8585E" w:rsidRPr="0099372D" w:rsidRDefault="00A8585E" w:rsidP="00113009">
            <w:pPr>
              <w:pStyle w:val="RSCI03FigureSchemeChartUncaptioned"/>
              <w:rPr>
                <w:noProof/>
                <w:lang w:eastAsia="fi-FI"/>
              </w:rPr>
            </w:pPr>
            <w:r>
              <w:rPr>
                <w:noProof/>
                <w:lang w:val="en-US"/>
              </w:rPr>
              <w:drawing>
                <wp:inline distT="0" distB="0" distL="0" distR="0" wp14:anchorId="6BF852CA" wp14:editId="308D1249">
                  <wp:extent cx="3149600" cy="1593850"/>
                  <wp:effectExtent l="0" t="0" r="0" b="6350"/>
                  <wp:docPr id="12" name="Picture 12" descr="IMG201910151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G20191015181200"/>
                          <pic:cNvPicPr>
                            <a:picLocks noChangeAspect="1" noChangeArrowheads="1"/>
                          </pic:cNvPicPr>
                        </pic:nvPicPr>
                        <pic:blipFill>
                          <a:blip r:embed="rId19" cstate="print">
                            <a:extLst>
                              <a:ext uri="{28A0092B-C50C-407E-A947-70E740481C1C}">
                                <a14:useLocalDpi xmlns:a14="http://schemas.microsoft.com/office/drawing/2010/main" val="0"/>
                              </a:ext>
                            </a:extLst>
                          </a:blip>
                          <a:srcRect l="28244" t="47879" r="27415" b="22337"/>
                          <a:stretch>
                            <a:fillRect/>
                          </a:stretch>
                        </pic:blipFill>
                        <pic:spPr bwMode="auto">
                          <a:xfrm>
                            <a:off x="0" y="0"/>
                            <a:ext cx="3149600" cy="1593850"/>
                          </a:xfrm>
                          <a:prstGeom prst="rect">
                            <a:avLst/>
                          </a:prstGeom>
                          <a:noFill/>
                          <a:ln>
                            <a:noFill/>
                          </a:ln>
                        </pic:spPr>
                      </pic:pic>
                    </a:graphicData>
                  </a:graphic>
                </wp:inline>
              </w:drawing>
            </w:r>
          </w:p>
        </w:tc>
      </w:tr>
      <w:tr w:rsidR="00A8585E" w:rsidRPr="00B80AB8" w14:paraId="6AD0EBF0" w14:textId="77777777" w:rsidTr="00113009">
        <w:trPr>
          <w:trHeight w:val="20"/>
        </w:trPr>
        <w:tc>
          <w:tcPr>
            <w:tcW w:w="4989" w:type="dxa"/>
          </w:tcPr>
          <w:p w14:paraId="521E2DD3" w14:textId="46A970E7" w:rsidR="00A8585E" w:rsidRPr="00796E59" w:rsidRDefault="00A8585E" w:rsidP="00796E59">
            <w:pPr>
              <w:pStyle w:val="RSCI05CaptiontoFigureSchemeChartwithbottombar"/>
            </w:pPr>
            <w:bookmarkStart w:id="18" w:name="_Ref27419865"/>
            <w:r w:rsidRPr="00796E59">
              <w:t xml:space="preserve">Figure </w:t>
            </w:r>
            <w:r w:rsidR="00C61A9E" w:rsidRPr="00796E59">
              <w:t>2</w:t>
            </w:r>
            <w:bookmarkEnd w:id="18"/>
            <w:r w:rsidRPr="00796E59">
              <w:t xml:space="preserve">. Biphasic system formed after the addition of acetic acid and formaldehyde during the synthesis of 1,3-di(octyl)imidazolium acetate. </w:t>
            </w:r>
            <w:r w:rsidR="00C53821" w:rsidRPr="00796E59">
              <w:t>The s</w:t>
            </w:r>
            <w:r w:rsidRPr="00796E59">
              <w:t xml:space="preserve">ame behavior was </w:t>
            </w:r>
            <w:r w:rsidR="00C53821" w:rsidRPr="00796E59">
              <w:t xml:space="preserve">observed during </w:t>
            </w:r>
            <w:r w:rsidRPr="00796E59">
              <w:t>the synthesis of 1,3-di(butyl)imidazolium acetate and therefore is expected to happen to all the chains above four carbon atoms if not even to all the linear alkyl amines. The biphasic system remains also after the addition of glyoxal.</w:t>
            </w:r>
          </w:p>
        </w:tc>
      </w:tr>
    </w:tbl>
    <w:tbl>
      <w:tblPr>
        <w:tblStyle w:val="TableGrid"/>
        <w:tblpPr w:tblpXSpec="right" w:tblpYSpec="bottom"/>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9"/>
      </w:tblGrid>
      <w:tr w:rsidR="000B50FA" w:rsidRPr="0099372D" w14:paraId="26A35D4A" w14:textId="77777777" w:rsidTr="00D865C7">
        <w:trPr>
          <w:trHeight w:val="20"/>
        </w:trPr>
        <w:tc>
          <w:tcPr>
            <w:tcW w:w="4989" w:type="dxa"/>
          </w:tcPr>
          <w:p w14:paraId="1880F77E" w14:textId="77777777" w:rsidR="000B50FA" w:rsidRPr="0099372D" w:rsidRDefault="000B50FA" w:rsidP="00D865C7">
            <w:pPr>
              <w:pStyle w:val="RSCT01TableTitlewithtopbar"/>
              <w:rPr>
                <w:noProof/>
              </w:rPr>
            </w:pPr>
            <w:bookmarkStart w:id="19" w:name="_Ref22482387"/>
            <w:r>
              <w:t xml:space="preserve">Table </w:t>
            </w:r>
            <w:r>
              <w:rPr>
                <w:noProof/>
              </w:rPr>
              <w:t>2</w:t>
            </w:r>
            <w:bookmarkEnd w:id="19"/>
            <w:r>
              <w:t>. Comparative table on the yield achieved with the different chain length.</w:t>
            </w:r>
          </w:p>
        </w:tc>
      </w:tr>
      <w:tr w:rsidR="000B50FA" w:rsidRPr="000C044B" w14:paraId="2D667436" w14:textId="77777777" w:rsidTr="00D865C7">
        <w:trPr>
          <w:trHeight w:val="20"/>
        </w:trPr>
        <w:tc>
          <w:tcPr>
            <w:tcW w:w="4989" w:type="dxa"/>
          </w:tcPr>
          <w:tbl>
            <w:tblPr>
              <w:tblW w:w="5000" w:type="pct"/>
              <w:tblCellMar>
                <w:left w:w="0" w:type="dxa"/>
                <w:right w:w="0" w:type="dxa"/>
              </w:tblCellMar>
              <w:tblLook w:val="04A0" w:firstRow="1" w:lastRow="0" w:firstColumn="1" w:lastColumn="0" w:noHBand="0" w:noVBand="1"/>
            </w:tblPr>
            <w:tblGrid>
              <w:gridCol w:w="1420"/>
              <w:gridCol w:w="1275"/>
              <w:gridCol w:w="1137"/>
              <w:gridCol w:w="1157"/>
            </w:tblGrid>
            <w:tr w:rsidR="000B50FA" w:rsidRPr="007C1DCD" w14:paraId="127DB9FA" w14:textId="77777777" w:rsidTr="00D865C7">
              <w:trPr>
                <w:trHeight w:val="288"/>
              </w:trPr>
              <w:tc>
                <w:tcPr>
                  <w:tcW w:w="1422" w:type="pct"/>
                  <w:tcBorders>
                    <w:top w:val="nil"/>
                    <w:left w:val="nil"/>
                    <w:bottom w:val="single" w:sz="4" w:space="0" w:color="auto"/>
                    <w:right w:val="nil"/>
                  </w:tcBorders>
                  <w:shd w:val="clear" w:color="auto" w:fill="auto"/>
                  <w:noWrap/>
                  <w:vAlign w:val="bottom"/>
                  <w:hideMark/>
                </w:tcPr>
                <w:p w14:paraId="643EA26B" w14:textId="77777777" w:rsidR="000B50FA" w:rsidRPr="007C1DCD" w:rsidRDefault="000B50FA" w:rsidP="00D865C7">
                  <w:pPr>
                    <w:pStyle w:val="RSCT03TableBody"/>
                    <w:framePr w:wrap="around" w:hAnchor="text" w:xAlign="right" w:yAlign="bottom"/>
                    <w:suppressOverlap/>
                    <w:rPr>
                      <w:lang w:val="en-US"/>
                    </w:rPr>
                  </w:pPr>
                  <w:r>
                    <w:rPr>
                      <w:lang w:val="en-US"/>
                    </w:rPr>
                    <w:t>Amine</w:t>
                  </w:r>
                </w:p>
              </w:tc>
              <w:tc>
                <w:tcPr>
                  <w:tcW w:w="1278" w:type="pct"/>
                  <w:tcBorders>
                    <w:top w:val="nil"/>
                    <w:left w:val="nil"/>
                    <w:bottom w:val="single" w:sz="4" w:space="0" w:color="auto"/>
                    <w:right w:val="nil"/>
                  </w:tcBorders>
                  <w:shd w:val="clear" w:color="auto" w:fill="auto"/>
                  <w:noWrap/>
                  <w:vAlign w:val="bottom"/>
                  <w:hideMark/>
                </w:tcPr>
                <w:p w14:paraId="51E9C819" w14:textId="77777777" w:rsidR="000B50FA" w:rsidRPr="007C1DCD" w:rsidRDefault="000B50FA" w:rsidP="00D865C7">
                  <w:pPr>
                    <w:pStyle w:val="RSCT03TableBody"/>
                    <w:framePr w:wrap="around" w:hAnchor="text" w:xAlign="right" w:yAlign="bottom"/>
                    <w:suppressOverlap/>
                    <w:rPr>
                      <w:lang w:val="en-US"/>
                    </w:rPr>
                  </w:pPr>
                  <w:r>
                    <w:rPr>
                      <w:lang w:val="en-US"/>
                    </w:rPr>
                    <w:t>Solvent</w:t>
                  </w:r>
                </w:p>
              </w:tc>
              <w:tc>
                <w:tcPr>
                  <w:tcW w:w="1140" w:type="pct"/>
                  <w:tcBorders>
                    <w:top w:val="nil"/>
                    <w:left w:val="nil"/>
                    <w:bottom w:val="single" w:sz="4" w:space="0" w:color="auto"/>
                    <w:right w:val="nil"/>
                  </w:tcBorders>
                  <w:shd w:val="clear" w:color="auto" w:fill="auto"/>
                  <w:noWrap/>
                  <w:vAlign w:val="bottom"/>
                  <w:hideMark/>
                </w:tcPr>
                <w:p w14:paraId="10AE5022" w14:textId="77777777" w:rsidR="000B50FA" w:rsidRPr="007C1DCD" w:rsidRDefault="000B50FA" w:rsidP="00D865C7">
                  <w:pPr>
                    <w:pStyle w:val="RSCT03TableBody"/>
                    <w:framePr w:wrap="around" w:hAnchor="text" w:xAlign="right" w:yAlign="bottom"/>
                    <w:suppressOverlap/>
                    <w:rPr>
                      <w:lang w:val="en-US"/>
                    </w:rPr>
                  </w:pPr>
                  <w:r>
                    <w:rPr>
                      <w:lang w:val="en-US"/>
                    </w:rPr>
                    <w:t>Purification</w:t>
                  </w:r>
                </w:p>
              </w:tc>
              <w:tc>
                <w:tcPr>
                  <w:tcW w:w="1161" w:type="pct"/>
                  <w:tcBorders>
                    <w:top w:val="nil"/>
                    <w:left w:val="nil"/>
                    <w:bottom w:val="single" w:sz="4" w:space="0" w:color="auto"/>
                    <w:right w:val="nil"/>
                  </w:tcBorders>
                  <w:shd w:val="clear" w:color="auto" w:fill="auto"/>
                  <w:noWrap/>
                  <w:vAlign w:val="bottom"/>
                  <w:hideMark/>
                </w:tcPr>
                <w:p w14:paraId="0A44F528" w14:textId="77777777" w:rsidR="000B50FA" w:rsidRPr="007C1DCD" w:rsidRDefault="000B50FA" w:rsidP="00D865C7">
                  <w:pPr>
                    <w:pStyle w:val="RSCT03TableBody"/>
                    <w:framePr w:wrap="around" w:hAnchor="text" w:xAlign="right" w:yAlign="bottom"/>
                    <w:suppressOverlap/>
                    <w:rPr>
                      <w:lang w:val="en-US"/>
                    </w:rPr>
                  </w:pPr>
                  <w:r w:rsidRPr="007C1DCD">
                    <w:rPr>
                      <w:lang w:val="en-US"/>
                    </w:rPr>
                    <w:t>Isolate</w:t>
                  </w:r>
                  <w:r>
                    <w:rPr>
                      <w:lang w:val="en-US"/>
                    </w:rPr>
                    <w:t>d</w:t>
                  </w:r>
                  <w:r w:rsidRPr="007C1DCD">
                    <w:rPr>
                      <w:lang w:val="en-US"/>
                    </w:rPr>
                    <w:t xml:space="preserve"> Yield</w:t>
                  </w:r>
                  <w:r>
                    <w:rPr>
                      <w:lang w:val="en-US"/>
                    </w:rPr>
                    <w:t xml:space="preserve"> (%)</w:t>
                  </w:r>
                </w:p>
              </w:tc>
            </w:tr>
            <w:tr w:rsidR="000B50FA" w:rsidRPr="007C1DCD" w14:paraId="223F47F0" w14:textId="77777777" w:rsidTr="00D865C7">
              <w:trPr>
                <w:trHeight w:val="227"/>
              </w:trPr>
              <w:tc>
                <w:tcPr>
                  <w:tcW w:w="1422" w:type="pct"/>
                  <w:tcBorders>
                    <w:top w:val="single" w:sz="4" w:space="0" w:color="auto"/>
                    <w:left w:val="nil"/>
                    <w:bottom w:val="nil"/>
                    <w:right w:val="nil"/>
                  </w:tcBorders>
                  <w:shd w:val="clear" w:color="auto" w:fill="auto"/>
                  <w:noWrap/>
                  <w:vAlign w:val="bottom"/>
                  <w:hideMark/>
                </w:tcPr>
                <w:p w14:paraId="7C54795E" w14:textId="77777777" w:rsidR="000B50FA" w:rsidRPr="007C1DCD" w:rsidRDefault="000B50FA" w:rsidP="00D865C7">
                  <w:pPr>
                    <w:pStyle w:val="RSCT03TableBody"/>
                    <w:framePr w:wrap="around" w:hAnchor="text" w:xAlign="right" w:yAlign="bottom"/>
                    <w:suppressOverlap/>
                    <w:rPr>
                      <w:lang w:val="en-US"/>
                    </w:rPr>
                  </w:pPr>
                  <w:r>
                    <w:rPr>
                      <w:lang w:val="en-US"/>
                    </w:rPr>
                    <w:t>1-octylamine</w:t>
                  </w:r>
                </w:p>
              </w:tc>
              <w:tc>
                <w:tcPr>
                  <w:tcW w:w="1278" w:type="pct"/>
                  <w:tcBorders>
                    <w:top w:val="single" w:sz="4" w:space="0" w:color="auto"/>
                    <w:left w:val="nil"/>
                    <w:bottom w:val="nil"/>
                    <w:right w:val="nil"/>
                  </w:tcBorders>
                  <w:shd w:val="clear" w:color="auto" w:fill="auto"/>
                  <w:noWrap/>
                  <w:vAlign w:val="center"/>
                </w:tcPr>
                <w:p w14:paraId="4FC10B46" w14:textId="77777777" w:rsidR="000B50FA" w:rsidRPr="007C1DCD" w:rsidRDefault="000B50FA" w:rsidP="00D865C7">
                  <w:pPr>
                    <w:pStyle w:val="RSCT03TableBody"/>
                    <w:framePr w:wrap="around" w:hAnchor="text" w:xAlign="right" w:yAlign="bottom"/>
                    <w:suppressOverlap/>
                    <w:rPr>
                      <w:lang w:val="en-US"/>
                    </w:rPr>
                  </w:pPr>
                  <w:r>
                    <w:rPr>
                      <w:lang w:val="en-US"/>
                    </w:rPr>
                    <w:t>Neat</w:t>
                  </w:r>
                  <w:r w:rsidRPr="0012525E">
                    <w:t>¹</w:t>
                  </w:r>
                </w:p>
              </w:tc>
              <w:tc>
                <w:tcPr>
                  <w:tcW w:w="1140" w:type="pct"/>
                  <w:tcBorders>
                    <w:top w:val="single" w:sz="4" w:space="0" w:color="auto"/>
                    <w:left w:val="nil"/>
                    <w:bottom w:val="nil"/>
                    <w:right w:val="nil"/>
                  </w:tcBorders>
                  <w:shd w:val="clear" w:color="auto" w:fill="auto"/>
                  <w:noWrap/>
                  <w:vAlign w:val="bottom"/>
                </w:tcPr>
                <w:p w14:paraId="3BDA6DA6" w14:textId="77777777" w:rsidR="000B50FA" w:rsidRPr="007C1DCD" w:rsidRDefault="000B50FA" w:rsidP="00D865C7">
                  <w:pPr>
                    <w:pStyle w:val="RSCT03TableBody"/>
                    <w:framePr w:wrap="around" w:hAnchor="text" w:xAlign="right" w:yAlign="bottom"/>
                    <w:suppressOverlap/>
                    <w:rPr>
                      <w:lang w:val="en-US"/>
                    </w:rPr>
                  </w:pPr>
                  <w:r>
                    <w:rPr>
                      <w:lang w:val="en-US"/>
                    </w:rPr>
                    <w:t>Extraction</w:t>
                  </w:r>
                  <w:r w:rsidRPr="0012525E">
                    <w:rPr>
                      <w:rFonts w:cstheme="minorHAnsi"/>
                      <w:noProof/>
                    </w:rPr>
                    <w:t>⁴</w:t>
                  </w:r>
                </w:p>
              </w:tc>
              <w:tc>
                <w:tcPr>
                  <w:tcW w:w="1161" w:type="pct"/>
                  <w:tcBorders>
                    <w:top w:val="single" w:sz="4" w:space="0" w:color="auto"/>
                    <w:left w:val="nil"/>
                    <w:bottom w:val="nil"/>
                    <w:right w:val="nil"/>
                  </w:tcBorders>
                  <w:shd w:val="clear" w:color="auto" w:fill="auto"/>
                  <w:noWrap/>
                  <w:vAlign w:val="bottom"/>
                  <w:hideMark/>
                </w:tcPr>
                <w:p w14:paraId="45AD3E63" w14:textId="77777777" w:rsidR="000B50FA" w:rsidRPr="007C1DCD" w:rsidRDefault="000B50FA" w:rsidP="00D865C7">
                  <w:pPr>
                    <w:pStyle w:val="RSCT03TableBody"/>
                    <w:framePr w:wrap="around" w:hAnchor="text" w:xAlign="right" w:yAlign="bottom"/>
                    <w:suppressOverlap/>
                    <w:rPr>
                      <w:lang w:val="en-US"/>
                    </w:rPr>
                  </w:pPr>
                  <w:r>
                    <w:rPr>
                      <w:lang w:val="en-US"/>
                    </w:rPr>
                    <w:t>92</w:t>
                  </w:r>
                </w:p>
              </w:tc>
            </w:tr>
            <w:tr w:rsidR="000B50FA" w:rsidRPr="007C1DCD" w14:paraId="3C59B5F8" w14:textId="77777777" w:rsidTr="00D865C7">
              <w:trPr>
                <w:trHeight w:val="227"/>
              </w:trPr>
              <w:tc>
                <w:tcPr>
                  <w:tcW w:w="1422" w:type="pct"/>
                  <w:tcBorders>
                    <w:top w:val="nil"/>
                    <w:left w:val="nil"/>
                    <w:bottom w:val="nil"/>
                    <w:right w:val="nil"/>
                  </w:tcBorders>
                  <w:shd w:val="clear" w:color="auto" w:fill="auto"/>
                  <w:noWrap/>
                  <w:vAlign w:val="bottom"/>
                  <w:hideMark/>
                </w:tcPr>
                <w:p w14:paraId="70B79235" w14:textId="77777777" w:rsidR="000B50FA" w:rsidRPr="007C1DCD" w:rsidRDefault="000B50FA" w:rsidP="00D865C7">
                  <w:pPr>
                    <w:pStyle w:val="RSCT03TableBody"/>
                    <w:framePr w:wrap="around" w:hAnchor="text" w:xAlign="right" w:yAlign="bottom"/>
                    <w:suppressOverlap/>
                    <w:rPr>
                      <w:lang w:val="en-US"/>
                    </w:rPr>
                  </w:pPr>
                  <w:r>
                    <w:rPr>
                      <w:lang w:val="en-US"/>
                    </w:rPr>
                    <w:t>1-decylamine</w:t>
                  </w:r>
                </w:p>
              </w:tc>
              <w:tc>
                <w:tcPr>
                  <w:tcW w:w="1278" w:type="pct"/>
                  <w:tcBorders>
                    <w:top w:val="nil"/>
                    <w:left w:val="nil"/>
                    <w:bottom w:val="nil"/>
                    <w:right w:val="nil"/>
                  </w:tcBorders>
                  <w:shd w:val="clear" w:color="auto" w:fill="auto"/>
                  <w:noWrap/>
                  <w:vAlign w:val="center"/>
                </w:tcPr>
                <w:p w14:paraId="4D70FB28" w14:textId="77777777" w:rsidR="000B50FA" w:rsidRPr="007C1DCD" w:rsidRDefault="000B50FA" w:rsidP="00D865C7">
                  <w:pPr>
                    <w:pStyle w:val="RSCT03TableBody"/>
                    <w:framePr w:wrap="around" w:hAnchor="text" w:xAlign="right" w:yAlign="bottom"/>
                    <w:suppressOverlap/>
                    <w:rPr>
                      <w:lang w:val="en-US"/>
                    </w:rPr>
                  </w:pPr>
                  <w:r>
                    <w:rPr>
                      <w:lang w:val="en-US"/>
                    </w:rPr>
                    <w:t>Neat</w:t>
                  </w:r>
                  <w:r w:rsidRPr="0012525E">
                    <w:t>¹</w:t>
                  </w:r>
                </w:p>
              </w:tc>
              <w:tc>
                <w:tcPr>
                  <w:tcW w:w="1140" w:type="pct"/>
                  <w:tcBorders>
                    <w:top w:val="nil"/>
                    <w:left w:val="nil"/>
                    <w:bottom w:val="nil"/>
                    <w:right w:val="nil"/>
                  </w:tcBorders>
                  <w:shd w:val="clear" w:color="auto" w:fill="auto"/>
                  <w:noWrap/>
                  <w:vAlign w:val="bottom"/>
                </w:tcPr>
                <w:p w14:paraId="026009C6" w14:textId="77777777" w:rsidR="000B50FA" w:rsidRPr="007C1DCD" w:rsidRDefault="000B50FA" w:rsidP="00D865C7">
                  <w:pPr>
                    <w:pStyle w:val="RSCT03TableBody"/>
                    <w:framePr w:wrap="around" w:hAnchor="text" w:xAlign="right" w:yAlign="bottom"/>
                    <w:suppressOverlap/>
                    <w:rPr>
                      <w:lang w:val="en-US"/>
                    </w:rPr>
                  </w:pPr>
                  <w:r>
                    <w:rPr>
                      <w:lang w:val="en-US"/>
                    </w:rPr>
                    <w:t>Extraction</w:t>
                  </w:r>
                  <w:r w:rsidRPr="0012525E">
                    <w:rPr>
                      <w:rFonts w:cstheme="minorHAnsi"/>
                      <w:noProof/>
                    </w:rPr>
                    <w:t>⁴</w:t>
                  </w:r>
                </w:p>
              </w:tc>
              <w:tc>
                <w:tcPr>
                  <w:tcW w:w="1161" w:type="pct"/>
                  <w:tcBorders>
                    <w:top w:val="nil"/>
                    <w:left w:val="nil"/>
                    <w:bottom w:val="nil"/>
                    <w:right w:val="nil"/>
                  </w:tcBorders>
                  <w:shd w:val="clear" w:color="auto" w:fill="auto"/>
                  <w:noWrap/>
                  <w:vAlign w:val="bottom"/>
                  <w:hideMark/>
                </w:tcPr>
                <w:p w14:paraId="3963950C" w14:textId="77777777" w:rsidR="000B50FA" w:rsidRPr="007C1DCD" w:rsidRDefault="000B50FA" w:rsidP="00D865C7">
                  <w:pPr>
                    <w:pStyle w:val="RSCT03TableBody"/>
                    <w:framePr w:wrap="around" w:hAnchor="text" w:xAlign="right" w:yAlign="bottom"/>
                    <w:suppressOverlap/>
                    <w:rPr>
                      <w:lang w:val="en-US"/>
                    </w:rPr>
                  </w:pPr>
                  <w:r>
                    <w:rPr>
                      <w:lang w:val="en-US"/>
                    </w:rPr>
                    <w:t>94</w:t>
                  </w:r>
                </w:p>
              </w:tc>
            </w:tr>
            <w:tr w:rsidR="000B50FA" w:rsidRPr="007C1DCD" w14:paraId="696EFD05" w14:textId="77777777" w:rsidTr="00D865C7">
              <w:trPr>
                <w:trHeight w:val="227"/>
              </w:trPr>
              <w:tc>
                <w:tcPr>
                  <w:tcW w:w="1422" w:type="pct"/>
                  <w:tcBorders>
                    <w:top w:val="nil"/>
                    <w:left w:val="nil"/>
                    <w:bottom w:val="nil"/>
                    <w:right w:val="nil"/>
                  </w:tcBorders>
                  <w:shd w:val="clear" w:color="auto" w:fill="auto"/>
                  <w:noWrap/>
                  <w:vAlign w:val="bottom"/>
                  <w:hideMark/>
                </w:tcPr>
                <w:p w14:paraId="58A6B5F2" w14:textId="77777777" w:rsidR="000B50FA" w:rsidRPr="007C1DCD" w:rsidRDefault="000B50FA" w:rsidP="00D865C7">
                  <w:pPr>
                    <w:pStyle w:val="RSCT03TableBody"/>
                    <w:framePr w:wrap="around" w:hAnchor="text" w:xAlign="right" w:yAlign="bottom"/>
                    <w:suppressOverlap/>
                    <w:rPr>
                      <w:lang w:val="en-US"/>
                    </w:rPr>
                  </w:pPr>
                  <w:r>
                    <w:rPr>
                      <w:lang w:val="en-US"/>
                    </w:rPr>
                    <w:t>1-dodecylamine</w:t>
                  </w:r>
                </w:p>
              </w:tc>
              <w:tc>
                <w:tcPr>
                  <w:tcW w:w="1278" w:type="pct"/>
                  <w:tcBorders>
                    <w:top w:val="nil"/>
                    <w:left w:val="nil"/>
                    <w:bottom w:val="nil"/>
                    <w:right w:val="nil"/>
                  </w:tcBorders>
                  <w:shd w:val="clear" w:color="auto" w:fill="auto"/>
                  <w:noWrap/>
                  <w:vAlign w:val="center"/>
                </w:tcPr>
                <w:p w14:paraId="0E9EF05D" w14:textId="77777777" w:rsidR="000B50FA" w:rsidRPr="007C1DCD" w:rsidRDefault="000B50FA" w:rsidP="00D865C7">
                  <w:pPr>
                    <w:pStyle w:val="RSCT03TableBody"/>
                    <w:framePr w:wrap="around" w:hAnchor="text" w:xAlign="right" w:yAlign="bottom"/>
                    <w:suppressOverlap/>
                    <w:rPr>
                      <w:lang w:val="en-US"/>
                    </w:rPr>
                  </w:pPr>
                  <w:r>
                    <w:rPr>
                      <w:lang w:val="en-US"/>
                    </w:rPr>
                    <w:t>Neat</w:t>
                  </w:r>
                  <w:r w:rsidRPr="0012525E">
                    <w:t>¹</w:t>
                  </w:r>
                </w:p>
              </w:tc>
              <w:tc>
                <w:tcPr>
                  <w:tcW w:w="1140" w:type="pct"/>
                  <w:tcBorders>
                    <w:top w:val="nil"/>
                    <w:left w:val="nil"/>
                    <w:bottom w:val="nil"/>
                    <w:right w:val="nil"/>
                  </w:tcBorders>
                  <w:shd w:val="clear" w:color="auto" w:fill="auto"/>
                  <w:noWrap/>
                  <w:vAlign w:val="bottom"/>
                </w:tcPr>
                <w:p w14:paraId="0277E566" w14:textId="77777777" w:rsidR="000B50FA" w:rsidRPr="007C1DCD" w:rsidRDefault="000B50FA" w:rsidP="00D865C7">
                  <w:pPr>
                    <w:pStyle w:val="RSCT03TableBody"/>
                    <w:framePr w:wrap="around" w:hAnchor="text" w:xAlign="right" w:yAlign="bottom"/>
                    <w:suppressOverlap/>
                    <w:rPr>
                      <w:lang w:val="en-US"/>
                    </w:rPr>
                  </w:pPr>
                  <w:r>
                    <w:rPr>
                      <w:lang w:val="en-US"/>
                    </w:rPr>
                    <w:t>Extraction</w:t>
                  </w:r>
                  <w:r w:rsidRPr="0012525E">
                    <w:rPr>
                      <w:rFonts w:cstheme="minorHAnsi"/>
                      <w:noProof/>
                    </w:rPr>
                    <w:t>⁴</w:t>
                  </w:r>
                </w:p>
              </w:tc>
              <w:tc>
                <w:tcPr>
                  <w:tcW w:w="1161" w:type="pct"/>
                  <w:tcBorders>
                    <w:top w:val="nil"/>
                    <w:left w:val="nil"/>
                    <w:bottom w:val="nil"/>
                    <w:right w:val="nil"/>
                  </w:tcBorders>
                  <w:shd w:val="clear" w:color="auto" w:fill="auto"/>
                  <w:noWrap/>
                  <w:vAlign w:val="bottom"/>
                  <w:hideMark/>
                </w:tcPr>
                <w:p w14:paraId="4CA823B7" w14:textId="77777777" w:rsidR="000B50FA" w:rsidRPr="007C1DCD" w:rsidRDefault="000B50FA" w:rsidP="00D865C7">
                  <w:pPr>
                    <w:pStyle w:val="RSCT03TableBody"/>
                    <w:framePr w:wrap="around" w:hAnchor="text" w:xAlign="right" w:yAlign="bottom"/>
                    <w:suppressOverlap/>
                    <w:rPr>
                      <w:lang w:val="en-US"/>
                    </w:rPr>
                  </w:pPr>
                  <w:r>
                    <w:rPr>
                      <w:lang w:val="en-US"/>
                    </w:rPr>
                    <w:t>85</w:t>
                  </w:r>
                </w:p>
              </w:tc>
            </w:tr>
            <w:tr w:rsidR="000B50FA" w:rsidRPr="007C1DCD" w14:paraId="4C2CCC85" w14:textId="77777777" w:rsidTr="00D865C7">
              <w:trPr>
                <w:trHeight w:val="227"/>
              </w:trPr>
              <w:tc>
                <w:tcPr>
                  <w:tcW w:w="1422" w:type="pct"/>
                  <w:tcBorders>
                    <w:top w:val="nil"/>
                    <w:left w:val="nil"/>
                    <w:bottom w:val="nil"/>
                    <w:right w:val="nil"/>
                  </w:tcBorders>
                  <w:shd w:val="clear" w:color="auto" w:fill="auto"/>
                  <w:noWrap/>
                  <w:vAlign w:val="bottom"/>
                  <w:hideMark/>
                </w:tcPr>
                <w:p w14:paraId="61ED9BFB" w14:textId="77777777" w:rsidR="000B50FA" w:rsidRPr="007C1DCD" w:rsidRDefault="000B50FA" w:rsidP="00D865C7">
                  <w:pPr>
                    <w:pStyle w:val="RSCT03TableBody"/>
                    <w:framePr w:wrap="around" w:hAnchor="text" w:xAlign="right" w:yAlign="bottom"/>
                    <w:suppressOverlap/>
                    <w:rPr>
                      <w:lang w:val="en-US"/>
                    </w:rPr>
                  </w:pPr>
                  <w:r>
                    <w:rPr>
                      <w:lang w:val="en-US"/>
                    </w:rPr>
                    <w:t>1-tetradecylamine</w:t>
                  </w:r>
                </w:p>
              </w:tc>
              <w:tc>
                <w:tcPr>
                  <w:tcW w:w="1278" w:type="pct"/>
                  <w:tcBorders>
                    <w:top w:val="nil"/>
                    <w:left w:val="nil"/>
                    <w:bottom w:val="nil"/>
                    <w:right w:val="nil"/>
                  </w:tcBorders>
                  <w:shd w:val="clear" w:color="auto" w:fill="auto"/>
                  <w:noWrap/>
                  <w:vAlign w:val="center"/>
                </w:tcPr>
                <w:p w14:paraId="7385CCFD" w14:textId="77777777" w:rsidR="000B50FA" w:rsidRPr="007C1DCD" w:rsidRDefault="000B50FA" w:rsidP="00D865C7">
                  <w:pPr>
                    <w:pStyle w:val="RSCT03TableBody"/>
                    <w:framePr w:wrap="around" w:hAnchor="text" w:xAlign="right" w:yAlign="bottom"/>
                    <w:suppressOverlap/>
                    <w:rPr>
                      <w:lang w:val="en-US"/>
                    </w:rPr>
                  </w:pPr>
                  <w:r>
                    <w:rPr>
                      <w:lang w:val="en-US"/>
                    </w:rPr>
                    <w:t>Neat</w:t>
                  </w:r>
                  <w:r w:rsidRPr="0012525E">
                    <w:t>¹</w:t>
                  </w:r>
                  <w:r>
                    <w:t>, Methanol</w:t>
                  </w:r>
                  <w:r w:rsidRPr="0012525E">
                    <w:t>²</w:t>
                  </w:r>
                </w:p>
              </w:tc>
              <w:tc>
                <w:tcPr>
                  <w:tcW w:w="1140" w:type="pct"/>
                  <w:tcBorders>
                    <w:top w:val="nil"/>
                    <w:left w:val="nil"/>
                    <w:bottom w:val="nil"/>
                    <w:right w:val="nil"/>
                  </w:tcBorders>
                  <w:shd w:val="clear" w:color="auto" w:fill="auto"/>
                  <w:noWrap/>
                  <w:vAlign w:val="bottom"/>
                </w:tcPr>
                <w:p w14:paraId="6F15F9D2" w14:textId="77777777" w:rsidR="000B50FA" w:rsidRPr="007C1DCD" w:rsidRDefault="000B50FA" w:rsidP="00D865C7">
                  <w:pPr>
                    <w:pStyle w:val="RSCT03TableBody"/>
                    <w:framePr w:wrap="around" w:hAnchor="text" w:xAlign="right" w:yAlign="bottom"/>
                    <w:suppressOverlap/>
                    <w:rPr>
                      <w:lang w:val="en-US"/>
                    </w:rPr>
                  </w:pPr>
                  <w:r>
                    <w:rPr>
                      <w:lang w:val="en-US"/>
                    </w:rPr>
                    <w:t>Extraction</w:t>
                  </w:r>
                  <w:r w:rsidRPr="0012525E">
                    <w:rPr>
                      <w:rFonts w:cstheme="minorHAnsi"/>
                      <w:noProof/>
                    </w:rPr>
                    <w:t>⁴</w:t>
                  </w:r>
                </w:p>
              </w:tc>
              <w:tc>
                <w:tcPr>
                  <w:tcW w:w="1161" w:type="pct"/>
                  <w:tcBorders>
                    <w:top w:val="nil"/>
                    <w:left w:val="nil"/>
                    <w:bottom w:val="nil"/>
                    <w:right w:val="nil"/>
                  </w:tcBorders>
                  <w:shd w:val="clear" w:color="auto" w:fill="auto"/>
                  <w:noWrap/>
                  <w:vAlign w:val="bottom"/>
                  <w:hideMark/>
                </w:tcPr>
                <w:p w14:paraId="391DED7E" w14:textId="77777777" w:rsidR="000B50FA" w:rsidRPr="007C1DCD" w:rsidRDefault="000B50FA" w:rsidP="00D865C7">
                  <w:pPr>
                    <w:pStyle w:val="RSCT03TableBody"/>
                    <w:framePr w:wrap="around" w:hAnchor="text" w:xAlign="right" w:yAlign="bottom"/>
                    <w:suppressOverlap/>
                    <w:rPr>
                      <w:lang w:val="en-US"/>
                    </w:rPr>
                  </w:pPr>
                  <w:r>
                    <w:rPr>
                      <w:lang w:val="en-US"/>
                    </w:rPr>
                    <w:t>87</w:t>
                  </w:r>
                </w:p>
              </w:tc>
            </w:tr>
            <w:tr w:rsidR="000B50FA" w:rsidRPr="007C1DCD" w14:paraId="11D8465A" w14:textId="77777777" w:rsidTr="00D865C7">
              <w:trPr>
                <w:trHeight w:val="227"/>
              </w:trPr>
              <w:tc>
                <w:tcPr>
                  <w:tcW w:w="1422" w:type="pct"/>
                  <w:tcBorders>
                    <w:top w:val="nil"/>
                    <w:left w:val="nil"/>
                    <w:bottom w:val="nil"/>
                    <w:right w:val="nil"/>
                  </w:tcBorders>
                  <w:shd w:val="clear" w:color="auto" w:fill="auto"/>
                  <w:noWrap/>
                  <w:vAlign w:val="bottom"/>
                  <w:hideMark/>
                </w:tcPr>
                <w:p w14:paraId="6DAEEAAC" w14:textId="77777777" w:rsidR="000B50FA" w:rsidRPr="007C1DCD" w:rsidRDefault="000B50FA" w:rsidP="00D865C7">
                  <w:pPr>
                    <w:pStyle w:val="RSCT03TableBody"/>
                    <w:framePr w:wrap="around" w:hAnchor="text" w:xAlign="right" w:yAlign="bottom"/>
                    <w:suppressOverlap/>
                    <w:rPr>
                      <w:lang w:val="en-US"/>
                    </w:rPr>
                  </w:pPr>
                  <w:r>
                    <w:rPr>
                      <w:lang w:val="en-US"/>
                    </w:rPr>
                    <w:t>1-hexadecylamine</w:t>
                  </w:r>
                </w:p>
              </w:tc>
              <w:tc>
                <w:tcPr>
                  <w:tcW w:w="1278" w:type="pct"/>
                  <w:tcBorders>
                    <w:top w:val="nil"/>
                    <w:left w:val="nil"/>
                    <w:bottom w:val="nil"/>
                    <w:right w:val="nil"/>
                  </w:tcBorders>
                  <w:shd w:val="clear" w:color="auto" w:fill="auto"/>
                  <w:noWrap/>
                  <w:vAlign w:val="center"/>
                </w:tcPr>
                <w:p w14:paraId="6A6DB8F3" w14:textId="77777777" w:rsidR="000B50FA" w:rsidRPr="007C1DCD" w:rsidRDefault="000B50FA" w:rsidP="00D865C7">
                  <w:pPr>
                    <w:pStyle w:val="RSCT03TableBody"/>
                    <w:framePr w:wrap="around" w:hAnchor="text" w:xAlign="right" w:yAlign="bottom"/>
                    <w:suppressOverlap/>
                    <w:rPr>
                      <w:lang w:val="en-US"/>
                    </w:rPr>
                  </w:pPr>
                  <w:r>
                    <w:rPr>
                      <w:lang w:val="en-US"/>
                    </w:rPr>
                    <w:t>Toluene</w:t>
                  </w:r>
                  <w:r w:rsidRPr="0012525E">
                    <w:t>³</w:t>
                  </w:r>
                </w:p>
              </w:tc>
              <w:tc>
                <w:tcPr>
                  <w:tcW w:w="1140" w:type="pct"/>
                  <w:tcBorders>
                    <w:top w:val="nil"/>
                    <w:left w:val="nil"/>
                    <w:bottom w:val="nil"/>
                    <w:right w:val="nil"/>
                  </w:tcBorders>
                  <w:shd w:val="clear" w:color="auto" w:fill="auto"/>
                  <w:noWrap/>
                  <w:vAlign w:val="bottom"/>
                </w:tcPr>
                <w:p w14:paraId="0E5D34D9" w14:textId="77777777" w:rsidR="000B50FA" w:rsidRPr="007C1DCD" w:rsidRDefault="000B50FA" w:rsidP="00D865C7">
                  <w:pPr>
                    <w:pStyle w:val="RSCT03TableBody"/>
                    <w:framePr w:wrap="around" w:hAnchor="text" w:xAlign="right" w:yAlign="bottom"/>
                    <w:suppressOverlap/>
                    <w:rPr>
                      <w:lang w:val="en-US"/>
                    </w:rPr>
                  </w:pPr>
                  <w:r>
                    <w:rPr>
                      <w:lang w:val="en-US"/>
                    </w:rPr>
                    <w:t>Precipitation</w:t>
                  </w:r>
                  <w:r w:rsidRPr="0012525E">
                    <w:rPr>
                      <w:noProof/>
                    </w:rPr>
                    <w:t>⁵</w:t>
                  </w:r>
                </w:p>
              </w:tc>
              <w:tc>
                <w:tcPr>
                  <w:tcW w:w="1161" w:type="pct"/>
                  <w:tcBorders>
                    <w:top w:val="nil"/>
                    <w:left w:val="nil"/>
                    <w:bottom w:val="nil"/>
                    <w:right w:val="nil"/>
                  </w:tcBorders>
                  <w:shd w:val="clear" w:color="auto" w:fill="auto"/>
                  <w:noWrap/>
                  <w:vAlign w:val="bottom"/>
                  <w:hideMark/>
                </w:tcPr>
                <w:p w14:paraId="28C111E5" w14:textId="77777777" w:rsidR="000B50FA" w:rsidRPr="007C1DCD" w:rsidRDefault="000B50FA" w:rsidP="00D865C7">
                  <w:pPr>
                    <w:pStyle w:val="RSCT03TableBody"/>
                    <w:framePr w:wrap="around" w:hAnchor="text" w:xAlign="right" w:yAlign="bottom"/>
                    <w:suppressOverlap/>
                    <w:rPr>
                      <w:lang w:val="en-US"/>
                    </w:rPr>
                  </w:pPr>
                  <w:r>
                    <w:rPr>
                      <w:lang w:val="en-US"/>
                    </w:rPr>
                    <w:t>67</w:t>
                  </w:r>
                </w:p>
              </w:tc>
            </w:tr>
            <w:tr w:rsidR="000B50FA" w:rsidRPr="007C1DCD" w14:paraId="6275A67D" w14:textId="77777777" w:rsidTr="00D865C7">
              <w:trPr>
                <w:trHeight w:val="227"/>
              </w:trPr>
              <w:tc>
                <w:tcPr>
                  <w:tcW w:w="1422" w:type="pct"/>
                  <w:tcBorders>
                    <w:top w:val="nil"/>
                    <w:left w:val="nil"/>
                    <w:bottom w:val="nil"/>
                    <w:right w:val="nil"/>
                  </w:tcBorders>
                  <w:shd w:val="clear" w:color="auto" w:fill="auto"/>
                  <w:noWrap/>
                  <w:vAlign w:val="bottom"/>
                  <w:hideMark/>
                </w:tcPr>
                <w:p w14:paraId="310F9B1A" w14:textId="77777777" w:rsidR="000B50FA" w:rsidRPr="007C1DCD" w:rsidRDefault="000B50FA" w:rsidP="00D865C7">
                  <w:pPr>
                    <w:pStyle w:val="RSCT03TableBody"/>
                    <w:framePr w:wrap="around" w:hAnchor="text" w:xAlign="right" w:yAlign="bottom"/>
                    <w:suppressOverlap/>
                    <w:rPr>
                      <w:lang w:val="en-US"/>
                    </w:rPr>
                  </w:pPr>
                  <w:r>
                    <w:rPr>
                      <w:lang w:val="en-US"/>
                    </w:rPr>
                    <w:t>1-octadecylamine</w:t>
                  </w:r>
                </w:p>
              </w:tc>
              <w:tc>
                <w:tcPr>
                  <w:tcW w:w="1278" w:type="pct"/>
                  <w:tcBorders>
                    <w:top w:val="nil"/>
                    <w:left w:val="nil"/>
                    <w:bottom w:val="nil"/>
                    <w:right w:val="nil"/>
                  </w:tcBorders>
                  <w:shd w:val="clear" w:color="auto" w:fill="auto"/>
                  <w:noWrap/>
                  <w:vAlign w:val="center"/>
                </w:tcPr>
                <w:p w14:paraId="3EBDF4F5" w14:textId="77777777" w:rsidR="000B50FA" w:rsidRPr="007C1DCD" w:rsidRDefault="000B50FA" w:rsidP="00D865C7">
                  <w:pPr>
                    <w:pStyle w:val="RSCT03TableBody"/>
                    <w:framePr w:wrap="around" w:hAnchor="text" w:xAlign="right" w:yAlign="bottom"/>
                    <w:suppressOverlap/>
                    <w:rPr>
                      <w:lang w:val="en-US"/>
                    </w:rPr>
                  </w:pPr>
                  <w:r>
                    <w:rPr>
                      <w:lang w:val="en-US"/>
                    </w:rPr>
                    <w:t>Toluene</w:t>
                  </w:r>
                </w:p>
              </w:tc>
              <w:tc>
                <w:tcPr>
                  <w:tcW w:w="1140" w:type="pct"/>
                  <w:tcBorders>
                    <w:top w:val="nil"/>
                    <w:left w:val="nil"/>
                    <w:bottom w:val="nil"/>
                    <w:right w:val="nil"/>
                  </w:tcBorders>
                  <w:shd w:val="clear" w:color="auto" w:fill="auto"/>
                  <w:noWrap/>
                  <w:vAlign w:val="bottom"/>
                </w:tcPr>
                <w:p w14:paraId="186B43E8" w14:textId="77777777" w:rsidR="000B50FA" w:rsidRPr="007C1DCD" w:rsidRDefault="000B50FA" w:rsidP="00D865C7">
                  <w:pPr>
                    <w:pStyle w:val="RSCT03TableBody"/>
                    <w:framePr w:wrap="around" w:hAnchor="text" w:xAlign="right" w:yAlign="bottom"/>
                    <w:suppressOverlap/>
                    <w:rPr>
                      <w:lang w:val="en-US"/>
                    </w:rPr>
                  </w:pPr>
                  <w:r>
                    <w:rPr>
                      <w:lang w:val="en-US"/>
                    </w:rPr>
                    <w:t>-</w:t>
                  </w:r>
                </w:p>
              </w:tc>
              <w:tc>
                <w:tcPr>
                  <w:tcW w:w="1161" w:type="pct"/>
                  <w:tcBorders>
                    <w:top w:val="nil"/>
                    <w:left w:val="nil"/>
                    <w:bottom w:val="nil"/>
                    <w:right w:val="nil"/>
                  </w:tcBorders>
                  <w:shd w:val="clear" w:color="auto" w:fill="auto"/>
                  <w:noWrap/>
                  <w:vAlign w:val="bottom"/>
                  <w:hideMark/>
                </w:tcPr>
                <w:p w14:paraId="6618DA25" w14:textId="77777777" w:rsidR="000B50FA" w:rsidRPr="007C1DCD" w:rsidRDefault="000B50FA" w:rsidP="00D865C7">
                  <w:pPr>
                    <w:pStyle w:val="RSCT03TableBody"/>
                    <w:framePr w:wrap="around" w:hAnchor="text" w:xAlign="right" w:yAlign="bottom"/>
                    <w:suppressOverlap/>
                    <w:rPr>
                      <w:lang w:val="en-US"/>
                    </w:rPr>
                  </w:pPr>
                  <w:r>
                    <w:rPr>
                      <w:lang w:val="en-US"/>
                    </w:rPr>
                    <w:t>-</w:t>
                  </w:r>
                </w:p>
              </w:tc>
            </w:tr>
          </w:tbl>
          <w:p w14:paraId="5680FC93" w14:textId="15D1C6BC" w:rsidR="000B50FA" w:rsidRPr="00DD7E5D" w:rsidRDefault="000B50FA" w:rsidP="008E48ED">
            <w:pPr>
              <w:pStyle w:val="RSCT05TableFootnotewithoutbottombar"/>
            </w:pPr>
            <w:r>
              <w:t>¹ A</w:t>
            </w:r>
            <w:r w:rsidRPr="00DD7E5D">
              <w:t>ctually water is the solvent as present in the reagent but there is no additional solvent used and the water volume is minor with respect to the one of the reagents.</w:t>
            </w:r>
            <w:r w:rsidRPr="00DD7E5D">
              <w:br/>
              <w:t xml:space="preserve">² </w:t>
            </w:r>
            <w:r>
              <w:t>M</w:t>
            </w:r>
            <w:r w:rsidRPr="00DD7E5D">
              <w:t>ethanol was added after 8</w:t>
            </w:r>
            <w:r>
              <w:t xml:space="preserve"> </w:t>
            </w:r>
            <w:r w:rsidRPr="00DD7E5D">
              <w:t>h to ease the runny solid and allow for the reaction to continue.</w:t>
            </w:r>
            <w:r w:rsidRPr="00DD7E5D">
              <w:tab/>
            </w:r>
            <w:r w:rsidRPr="00DD7E5D">
              <w:br/>
              <w:t xml:space="preserve">³ </w:t>
            </w:r>
            <w:r>
              <w:t>A</w:t>
            </w:r>
            <w:r w:rsidRPr="00DD7E5D">
              <w:t>mine concentration in toluene is 0.2</w:t>
            </w:r>
            <w:r>
              <w:t xml:space="preserve"> </w:t>
            </w:r>
            <w:r w:rsidRPr="00DD7E5D">
              <w:t>M.</w:t>
            </w:r>
            <w:r w:rsidRPr="00DD7E5D">
              <w:tab/>
              <w:t xml:space="preserve"> </w:t>
            </w:r>
            <w:r w:rsidRPr="00DD7E5D">
              <w:br/>
              <w:t xml:space="preserve">⁴ </w:t>
            </w:r>
            <w:r>
              <w:t>B</w:t>
            </w:r>
            <w:r w:rsidRPr="00DD7E5D">
              <w:t>atch extraction with aceton</w:t>
            </w:r>
            <w:r w:rsidR="008E48ED">
              <w:t>itrile and petroleum ether.</w:t>
            </w:r>
            <w:r w:rsidR="008E48ED">
              <w:tab/>
              <w:t xml:space="preserve"> </w:t>
            </w:r>
            <w:r w:rsidR="008E48ED">
              <w:br/>
              <w:t>⁵</w:t>
            </w:r>
            <w:r w:rsidRPr="00DD7E5D">
              <w:t xml:space="preserve"> </w:t>
            </w:r>
            <w:r>
              <w:t>I</w:t>
            </w:r>
            <w:r w:rsidRPr="00DD7E5D">
              <w:t>mpurities precipitation via the use of methanol as anti-solvent.</w:t>
            </w:r>
          </w:p>
        </w:tc>
      </w:tr>
    </w:tbl>
    <w:p w14:paraId="53735088" w14:textId="4EBBCA03" w:rsidR="009B0B82" w:rsidRPr="000A0249" w:rsidRDefault="00CD366A" w:rsidP="000B50FA">
      <w:pPr>
        <w:pStyle w:val="RSCB02ArticleText"/>
        <w:rPr>
          <w:noProof/>
        </w:rPr>
      </w:pPr>
      <w:r>
        <w:rPr>
          <w:noProof/>
        </w:rPr>
        <w:t xml:space="preserve">What can be also considered is that the imine self-segregation </w:t>
      </w:r>
      <w:r w:rsidR="00774579">
        <w:rPr>
          <w:noProof/>
        </w:rPr>
        <w:t xml:space="preserve">as a triazine </w:t>
      </w:r>
      <w:r>
        <w:rPr>
          <w:noProof/>
        </w:rPr>
        <w:t xml:space="preserve">is </w:t>
      </w:r>
      <w:r w:rsidR="00E92682">
        <w:rPr>
          <w:noProof/>
        </w:rPr>
        <w:t xml:space="preserve">beneficial </w:t>
      </w:r>
      <w:r>
        <w:rPr>
          <w:noProof/>
        </w:rPr>
        <w:t>to the reaction outcomes only when non-en</w:t>
      </w:r>
      <w:r w:rsidR="00E92682">
        <w:rPr>
          <w:noProof/>
        </w:rPr>
        <w:t>o</w:t>
      </w:r>
      <w:r>
        <w:rPr>
          <w:noProof/>
        </w:rPr>
        <w:t>lisable imines are used, such as formaldehyde.</w:t>
      </w:r>
      <w:r w:rsidR="00D15268">
        <w:rPr>
          <w:rStyle w:val="FootnoteReference"/>
          <w:noProof/>
        </w:rPr>
        <w:fldChar w:fldCharType="begin" w:fldLock="1"/>
      </w:r>
      <w:r w:rsidR="00D15268">
        <w:rPr>
          <w:noProof/>
        </w:rPr>
        <w:instrText>ADDIN CSL_CITATION {"citationItems":[{"id":"ITEM-1","itemData":{"DOI":"10.1039/C5RA22798D","ISSN":"2046-2069","author":[{"dropping-particle":"","family":"Depuydt","given":"Daphne","non-dropping-particle":"","parse-names":false,"suffix":""},{"dropping-particle":"","family":"Bossche","given":"Arne","non-dropping-particle":"Van den","parse-names":false,"suffix":""},{"dropping-particle":"","family":"Dehaen","given":"Wim","non-dropping-particle":"","parse-names":false,"suffix":""},{"dropping-particle":"","family":"Binnemans","given":"Koen","non-dropping-particle":"","parse-names":false,"suffix":""}],"container-title":"RSC Advances","id":"ITEM-1","issue":"11","issued":{"date-parts":[["2016"]]},"page":"8848-8859","publisher":"Royal Society of Chemistry","title":"Halogen-free synthesis of symmetrical 1,3-dialkylimidazolium ionic liquids using non-enolisable starting materials","type":"article-journal","volume":"6"},"uris":["http://www.mendeley.com/documents/?uuid=3c830a9d-312d-4351-b496-f2a082b65f8c"]}],"mendeley":{"formattedCitation":"&lt;sup&gt;17&lt;/sup&gt;","plainTextFormattedCitation":"17","previouslyFormattedCitation":"&lt;sup&gt;17&lt;/sup&gt;"},"properties":{"noteIndex":0},"schema":"https://github.com/citation-style-language/schema/raw/master/csl-citation.json"}</w:instrText>
      </w:r>
      <w:r w:rsidR="00D15268">
        <w:rPr>
          <w:rStyle w:val="FootnoteReference"/>
          <w:noProof/>
        </w:rPr>
        <w:fldChar w:fldCharType="separate"/>
      </w:r>
      <w:r w:rsidR="00D15268" w:rsidRPr="00CB1AEF">
        <w:rPr>
          <w:noProof/>
          <w:vertAlign w:val="superscript"/>
        </w:rPr>
        <w:t>17</w:t>
      </w:r>
      <w:r w:rsidR="00D15268">
        <w:rPr>
          <w:rStyle w:val="FootnoteReference"/>
          <w:noProof/>
        </w:rPr>
        <w:fldChar w:fldCharType="end"/>
      </w:r>
      <w:r>
        <w:rPr>
          <w:noProof/>
        </w:rPr>
        <w:t xml:space="preserve"> If an enolisable imine would </w:t>
      </w:r>
      <w:r w:rsidR="00774579">
        <w:rPr>
          <w:noProof/>
        </w:rPr>
        <w:t>be used</w:t>
      </w:r>
      <w:r>
        <w:rPr>
          <w:noProof/>
        </w:rPr>
        <w:t xml:space="preserve">, it </w:t>
      </w:r>
      <w:r w:rsidR="00A36D14">
        <w:rPr>
          <w:noProof/>
        </w:rPr>
        <w:t xml:space="preserve">would likely </w:t>
      </w:r>
      <w:r>
        <w:rPr>
          <w:noProof/>
        </w:rPr>
        <w:t xml:space="preserve">result in self-condensating </w:t>
      </w:r>
      <w:r w:rsidR="00774579">
        <w:rPr>
          <w:noProof/>
        </w:rPr>
        <w:t xml:space="preserve">to a less sterically encoumbered derivative </w:t>
      </w:r>
      <w:r>
        <w:rPr>
          <w:noProof/>
        </w:rPr>
        <w:t xml:space="preserve">prior to </w:t>
      </w:r>
      <w:r w:rsidR="00E92682">
        <w:rPr>
          <w:noProof/>
        </w:rPr>
        <w:t xml:space="preserve">the </w:t>
      </w:r>
      <w:r>
        <w:rPr>
          <w:noProof/>
        </w:rPr>
        <w:t>glyoxal addition</w:t>
      </w:r>
      <w:r w:rsidR="00774579">
        <w:rPr>
          <w:noProof/>
        </w:rPr>
        <w:t xml:space="preserve"> (e.g. Mannich condensation to a polyimine)</w:t>
      </w:r>
      <w:r>
        <w:rPr>
          <w:noProof/>
        </w:rPr>
        <w:t xml:space="preserve">. </w:t>
      </w:r>
      <w:r w:rsidR="00FC4361">
        <w:rPr>
          <w:noProof/>
        </w:rPr>
        <w:t>Also</w:t>
      </w:r>
      <w:r>
        <w:rPr>
          <w:noProof/>
        </w:rPr>
        <w:t>,</w:t>
      </w:r>
      <w:r w:rsidR="00774579">
        <w:rPr>
          <w:noProof/>
        </w:rPr>
        <w:t xml:space="preserve"> under the current condition,</w:t>
      </w:r>
      <w:r>
        <w:rPr>
          <w:noProof/>
        </w:rPr>
        <w:t xml:space="preserve"> </w:t>
      </w:r>
      <w:r w:rsidR="00A36D14">
        <w:rPr>
          <w:noProof/>
        </w:rPr>
        <w:t>the</w:t>
      </w:r>
      <w:r w:rsidR="00774579">
        <w:rPr>
          <w:noProof/>
        </w:rPr>
        <w:t xml:space="preserve"> </w:t>
      </w:r>
      <w:r w:rsidR="00774579" w:rsidRPr="00774579">
        <w:rPr>
          <w:noProof/>
        </w:rPr>
        <w:t xml:space="preserve">triazine </w:t>
      </w:r>
      <w:r w:rsidR="00774579">
        <w:rPr>
          <w:noProof/>
        </w:rPr>
        <w:t xml:space="preserve">formation </w:t>
      </w:r>
      <w:r>
        <w:rPr>
          <w:noProof/>
        </w:rPr>
        <w:t xml:space="preserve">might be a </w:t>
      </w:r>
      <w:r>
        <w:rPr>
          <w:noProof/>
          <w:lang w:val="en-US"/>
        </w:rPr>
        <w:t>formaldehyde</w:t>
      </w:r>
      <w:r w:rsidR="00AC5BFA">
        <w:rPr>
          <w:noProof/>
        </w:rPr>
        <w:t>-</w:t>
      </w:r>
      <w:r>
        <w:rPr>
          <w:noProof/>
        </w:rPr>
        <w:t xml:space="preserve">specific behaviour, explaining why </w:t>
      </w:r>
      <w:r w:rsidR="00A36D14">
        <w:rPr>
          <w:noProof/>
        </w:rPr>
        <w:t xml:space="preserve">none of </w:t>
      </w:r>
      <w:r>
        <w:rPr>
          <w:noProof/>
        </w:rPr>
        <w:t xml:space="preserve">the </w:t>
      </w:r>
      <w:r w:rsidR="00136FBE">
        <w:rPr>
          <w:noProof/>
        </w:rPr>
        <w:t>non-en</w:t>
      </w:r>
      <w:r w:rsidR="000A43D3">
        <w:rPr>
          <w:noProof/>
        </w:rPr>
        <w:t>o</w:t>
      </w:r>
      <w:r w:rsidR="00136FBE">
        <w:rPr>
          <w:noProof/>
        </w:rPr>
        <w:t>lisable aldehydes</w:t>
      </w:r>
      <w:r w:rsidR="00651441">
        <w:rPr>
          <w:noProof/>
        </w:rPr>
        <w:t xml:space="preserve"> </w:t>
      </w:r>
      <w:r w:rsidR="00B03ADD">
        <w:rPr>
          <w:noProof/>
        </w:rPr>
        <w:t xml:space="preserve">tested by </w:t>
      </w:r>
      <w:r w:rsidR="00B03ADD" w:rsidRPr="00E92682">
        <w:rPr>
          <w:noProof/>
        </w:rPr>
        <w:t>Depuydt et al.</w:t>
      </w:r>
      <w:r w:rsidR="00B03ADD">
        <w:rPr>
          <w:noProof/>
        </w:rPr>
        <w:t xml:space="preserve"> </w:t>
      </w:r>
      <w:r w:rsidR="00E92682">
        <w:rPr>
          <w:noProof/>
        </w:rPr>
        <w:t>per</w:t>
      </w:r>
      <w:r w:rsidR="00136FBE">
        <w:rPr>
          <w:noProof/>
        </w:rPr>
        <w:t xml:space="preserve">formed </w:t>
      </w:r>
      <w:r>
        <w:rPr>
          <w:noProof/>
        </w:rPr>
        <w:t>as formaldehyde.</w:t>
      </w:r>
      <w:r w:rsidR="00CB1AEF" w:rsidRPr="00CB1AEF">
        <w:rPr>
          <w:noProof/>
          <w:vertAlign w:val="superscript"/>
        </w:rPr>
        <w:t>17</w:t>
      </w:r>
      <w:r w:rsidR="00774579">
        <w:t xml:space="preserve"> This </w:t>
      </w:r>
      <w:r w:rsidR="00A7308F">
        <w:t xml:space="preserve">gives a further insights in the reaction </w:t>
      </w:r>
      <w:r w:rsidR="00774579">
        <w:t xml:space="preserve">underlying this </w:t>
      </w:r>
      <w:r w:rsidR="00C61A9E">
        <w:t>modification of the</w:t>
      </w:r>
      <w:r w:rsidR="00A7308F">
        <w:t xml:space="preserve"> </w:t>
      </w:r>
      <w:r w:rsidR="00774579">
        <w:t>Debus</w:t>
      </w:r>
      <w:r w:rsidR="00C53821">
        <w:rPr>
          <w:noProof/>
        </w:rPr>
        <w:sym w:font="Symbol" w:char="F02D"/>
      </w:r>
      <w:r w:rsidR="000B50FA">
        <w:t>Radizewski</w:t>
      </w:r>
      <w:r w:rsidR="00774579">
        <w:t xml:space="preserve"> </w:t>
      </w:r>
      <w:r w:rsidR="00A7308F">
        <w:t>reaction, which appears to have an analog</w:t>
      </w:r>
      <w:r w:rsidR="000A43D3">
        <w:t>ous</w:t>
      </w:r>
      <w:r w:rsidR="00A7308F">
        <w:t xml:space="preserve"> reactivity to what has been previously reported </w:t>
      </w:r>
      <w:r w:rsidR="00C61A9E">
        <w:t>for</w:t>
      </w:r>
      <w:r w:rsidR="00A7308F">
        <w:t xml:space="preserve"> the synthesis of imidazoles from </w:t>
      </w:r>
      <w:r w:rsidR="00C61A9E">
        <w:t>the</w:t>
      </w:r>
      <w:r w:rsidR="008E7F8D">
        <w:t xml:space="preserve"> reaction between an α-</w:t>
      </w:r>
      <w:r w:rsidR="008E7F8D" w:rsidRPr="008E7F8D">
        <w:t>hydroximinoketone</w:t>
      </w:r>
      <w:r w:rsidR="00A7308F">
        <w:t xml:space="preserve"> and </w:t>
      </w:r>
      <w:r w:rsidR="00A7308F" w:rsidRPr="00A7308F">
        <w:t>1,3,5-trimethylhexahydro-1,3,5-triazine</w:t>
      </w:r>
      <w:r w:rsidR="00A7308F">
        <w:t>.</w:t>
      </w:r>
      <w:r w:rsidR="00D15268">
        <w:fldChar w:fldCharType="begin" w:fldLock="1"/>
      </w:r>
      <w:r w:rsidR="00AB19EC">
        <w:instrText>ADDIN CSL_CITATION {"citationItems":[{"id":"ITEM-1","itemData":{"DOI":"10.1021/jo026619w","ISBN":"4970712972","ISSN":"00223263","abstract":"The regiospecific synthesis of 2a (Scheme 3), a novel and potent pyridinyl imidazole inhibitor of p38 MAP (mitogen-activated protein) kinase, and the regioselective preparation of its regioisomer 2b (Scheme 4) are described. Chromatographic and spectroscopic data are presented, which in this class of compounds allow the unambiguous identification of regioisomers prepared by a nonregiospecific synthetic strategy. Biological data demonstrating the importance of the correct regiochemistry for inhibition of p38 are given.","author":[{"dropping-particle":"","family":"Wagner","given":"Gerd K.","non-dropping-particle":"","parse-names":false,"suffix":""},{"dropping-particle":"","family":"Kotschenreuther","given":"Dunja","non-dropping-particle":"","parse-names":false,"suffix":""},{"dropping-particle":"","family":"Zimmermann","given":"Werner","non-dropping-particle":"","parse-names":false,"suffix":""},{"dropping-particle":"","family":"Laufer","given":"Stefan A.","non-dropping-particle":"","parse-names":false,"suffix":""}],"container-title":"Journal of Organic Chemistry","id":"ITEM-1","issue":"11","issued":{"date-parts":[["2003"]]},"page":"4527-4530","title":"Identification of regioisomers in a series of N-substituted pyridin-4-yl imidazole derivatives by regiospecific synthesis, GC/MS, and 1H NMR","type":"article-journal","volume":"68"},"uris":["http://www.mendeley.com/documents/?uuid=a9245aa5-f5cc-4f9d-9da9-7284d28cbd74"]},{"id":"ITEM-2","itemData":{"DOI":"10.1021/jm0496584","ISSN":"00222623","abstract":"We prepared novel 1,2,4,5-tetrasubstituted imidazole derivatives with high anti-inflammatory activity by using our previously described regiospecific synthesis. Systematic optimization of the imidazole N-1 substituent resulted in compound 9b that potently inhibited the mitogen-activated protein kinase p38 (p38 IC50 = 0.218 μM) as well as the release of the proinflammatory cytokines interleukin-1β (IL-1β) and tumor necrosis factor α (TNFα) from human whole blood after stimulation with LPS. Furthermore, compound 9b exhibited reduced cytochrome P450 interaction in comparison with SB203580. This result is particularly important, since cytochrome P450 interaction is observed for some p38 inhibitors and in turn can potentially cause drug-drug interaction or lead to other hepatic changes such as P450 enzyme induction.","author":[{"dropping-particle":"","family":"Laufer","given":"Stefan A.","non-dropping-particle":"","parse-names":false,"suffix":""},{"dropping-particle":"","family":"Zimmermann","given":"Werner","non-dropping-particle":"","parse-names":false,"suffix":""},{"dropping-particle":"","family":"Ruff","given":"Kathrin J.","non-dropping-particle":"","parse-names":false,"suffix":""}],"container-title":"Journal of Medicinal Chemistry","id":"ITEM-2","issue":"25","issued":{"date-parts":[["2004"]]},"page":"6311-6325","title":"Tetrasubstituted imidazole inhibitors of cytokine release: Probing substituents in the N-1 position","type":"article-journal","volume":"47"},"uris":["http://www.mendeley.com/documents/?uuid=6848e0cb-0efc-4137-b7c4-1dabb84a6734"]}],"mendeley":{"formattedCitation":"&lt;sup&gt;39,40&lt;/sup&gt;","plainTextFormattedCitation":"39,40","previouslyFormattedCitation":"&lt;sup&gt;39,40&lt;/sup&gt;"},"properties":{"noteIndex":0},"schema":"https://github.com/citation-style-language/schema/raw/master/csl-citation.json"}</w:instrText>
      </w:r>
      <w:r w:rsidR="00D15268">
        <w:fldChar w:fldCharType="separate"/>
      </w:r>
      <w:r w:rsidR="00AB19EC" w:rsidRPr="00AB19EC">
        <w:rPr>
          <w:noProof/>
          <w:vertAlign w:val="superscript"/>
        </w:rPr>
        <w:t>39,40</w:t>
      </w:r>
      <w:r w:rsidR="00D15268">
        <w:fldChar w:fldCharType="end"/>
      </w:r>
    </w:p>
    <w:p w14:paraId="6CCFB4BF" w14:textId="6646C6FB" w:rsidR="00CB110C" w:rsidRDefault="00504D17" w:rsidP="00DB6945">
      <w:pPr>
        <w:pStyle w:val="RSCB07BHeadingSub-Section-standalone"/>
        <w:rPr>
          <w:noProof/>
        </w:rPr>
      </w:pPr>
      <w:r>
        <w:rPr>
          <w:noProof/>
        </w:rPr>
        <w:t>Acid</w:t>
      </w:r>
      <w:r w:rsidR="00DB6945">
        <w:rPr>
          <w:noProof/>
        </w:rPr>
        <w:t xml:space="preserve"> metathesis</w:t>
      </w:r>
    </w:p>
    <w:tbl>
      <w:tblPr>
        <w:tblStyle w:val="TableGrid"/>
        <w:tblpPr w:leftFromText="181" w:rightFromText="181" w:topFromText="180" w:tblpYSpec="bottom"/>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0" w:type="dxa"/>
          <w:right w:w="0" w:type="dxa"/>
        </w:tblCellMar>
        <w:tblLook w:val="04A0" w:firstRow="1" w:lastRow="0" w:firstColumn="1" w:lastColumn="0" w:noHBand="0" w:noVBand="1"/>
      </w:tblPr>
      <w:tblGrid>
        <w:gridCol w:w="4989"/>
      </w:tblGrid>
      <w:tr w:rsidR="000B50FA" w:rsidRPr="008B4343" w14:paraId="45F7508B" w14:textId="77777777" w:rsidTr="00D865C7">
        <w:trPr>
          <w:trHeight w:val="20"/>
        </w:trPr>
        <w:tc>
          <w:tcPr>
            <w:tcW w:w="4989" w:type="dxa"/>
            <w:vAlign w:val="center"/>
          </w:tcPr>
          <w:p w14:paraId="72D73ACA" w14:textId="77777777" w:rsidR="000B50FA" w:rsidRPr="0099372D" w:rsidRDefault="000B50FA" w:rsidP="00D865C7">
            <w:pPr>
              <w:pStyle w:val="RSCI02FigureSchemeChartwithtopbar"/>
              <w:keepNext/>
              <w:spacing w:after="0"/>
              <w:jc w:val="center"/>
            </w:pPr>
            <w:r>
              <w:rPr>
                <w:b/>
                <w:bCs/>
                <w:noProof/>
                <w:lang w:val="en-US"/>
              </w:rPr>
              <w:drawing>
                <wp:inline distT="0" distB="0" distL="0" distR="0" wp14:anchorId="6152185C" wp14:editId="257D65AE">
                  <wp:extent cx="3180715" cy="4237990"/>
                  <wp:effectExtent l="0" t="0" r="635" b="0"/>
                  <wp:docPr id="8" name="Picture 8" descr="Handerson-Hesselback_AcOH_protonate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erson-Hesselback_AcOH_protonated fra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0715" cy="4237990"/>
                          </a:xfrm>
                          <a:prstGeom prst="rect">
                            <a:avLst/>
                          </a:prstGeom>
                          <a:noFill/>
                          <a:ln>
                            <a:noFill/>
                          </a:ln>
                        </pic:spPr>
                      </pic:pic>
                    </a:graphicData>
                  </a:graphic>
                </wp:inline>
              </w:drawing>
            </w:r>
          </w:p>
        </w:tc>
      </w:tr>
      <w:tr w:rsidR="000B50FA" w:rsidRPr="00B80AB8" w14:paraId="29C40DCC" w14:textId="77777777" w:rsidTr="00D865C7">
        <w:trPr>
          <w:trHeight w:val="20"/>
        </w:trPr>
        <w:tc>
          <w:tcPr>
            <w:tcW w:w="4989" w:type="dxa"/>
          </w:tcPr>
          <w:p w14:paraId="3BD9B365" w14:textId="77777777" w:rsidR="000B50FA" w:rsidRPr="008F38B3" w:rsidRDefault="000B50FA" w:rsidP="00D865C7">
            <w:pPr>
              <w:pStyle w:val="RSCI04CaptiontoFigureSchemeChart"/>
              <w:rPr>
                <w:lang w:val="en-US"/>
              </w:rPr>
            </w:pPr>
            <w:bookmarkStart w:id="20" w:name="_Ref22454136"/>
            <w:bookmarkStart w:id="21" w:name="_Toc21555320"/>
            <w:r>
              <w:t xml:space="preserve">Figure </w:t>
            </w:r>
            <w:r>
              <w:rPr>
                <w:noProof/>
              </w:rPr>
              <w:t>3</w:t>
            </w:r>
            <w:bookmarkEnd w:id="20"/>
            <w:r w:rsidRPr="005C49C3">
              <w:t xml:space="preserve">. </w:t>
            </w:r>
            <w:bookmarkEnd w:id="21"/>
            <w:r w:rsidRPr="008F38B3">
              <w:rPr>
                <w:lang w:val="en-US"/>
              </w:rPr>
              <w:t>G</w:t>
            </w:r>
            <w:r>
              <w:rPr>
                <w:lang w:val="en-US"/>
              </w:rPr>
              <w:t>raphical repr</w:t>
            </w:r>
            <w:r w:rsidRPr="008F38B3">
              <w:rPr>
                <w:lang w:val="en-US"/>
              </w:rPr>
              <w:t>esentation of the molar fraction of protonated ac</w:t>
            </w:r>
            <w:r>
              <w:rPr>
                <w:lang w:val="en-US"/>
              </w:rPr>
              <w:t>etic acid within an a</w:t>
            </w:r>
            <w:r w:rsidRPr="008F38B3">
              <w:rPr>
                <w:lang w:val="en-US"/>
              </w:rPr>
              <w:t xml:space="preserve">queous solution. </w:t>
            </w:r>
            <w:r>
              <w:rPr>
                <w:lang w:val="en-US"/>
              </w:rPr>
              <w:t>This can be used to predict the capacity of an acid to displace the acetate anion in the ion-pair couple in an aqueous system.</w:t>
            </w:r>
          </w:p>
        </w:tc>
      </w:tr>
    </w:tbl>
    <w:p w14:paraId="35D8D965" w14:textId="77777777" w:rsidR="003A1DF0" w:rsidRDefault="00640680" w:rsidP="000B50FA">
      <w:pPr>
        <w:pStyle w:val="RSCB02ArticleText"/>
        <w:rPr>
          <w:noProof/>
        </w:rPr>
      </w:pPr>
      <w:r>
        <w:rPr>
          <w:noProof/>
        </w:rPr>
        <w:t>Acid</w:t>
      </w:r>
      <w:r w:rsidR="002A6990">
        <w:rPr>
          <w:noProof/>
        </w:rPr>
        <w:t xml:space="preserve"> metathesis is an effective </w:t>
      </w:r>
      <w:r w:rsidR="0012363D">
        <w:rPr>
          <w:noProof/>
        </w:rPr>
        <w:t xml:space="preserve">way to derivatise the </w:t>
      </w:r>
      <w:r w:rsidR="008318E7">
        <w:rPr>
          <w:noProof/>
        </w:rPr>
        <w:t xml:space="preserve">imidazolium </w:t>
      </w:r>
      <w:r w:rsidR="0012363D">
        <w:rPr>
          <w:noProof/>
        </w:rPr>
        <w:t xml:space="preserve">acetate ionic liquids due to the </w:t>
      </w:r>
      <w:r w:rsidR="00730F4D">
        <w:rPr>
          <w:noProof/>
        </w:rPr>
        <w:t>moderate</w:t>
      </w:r>
      <w:r>
        <w:rPr>
          <w:noProof/>
        </w:rPr>
        <w:t xml:space="preserve"> basicity</w:t>
      </w:r>
      <w:r w:rsidR="0012363D">
        <w:rPr>
          <w:noProof/>
        </w:rPr>
        <w:t xml:space="preserve"> of the acetate anion. </w:t>
      </w:r>
      <w:r w:rsidR="00C53407">
        <w:rPr>
          <w:noProof/>
        </w:rPr>
        <w:t xml:space="preserve">To </w:t>
      </w:r>
      <w:r w:rsidR="00531B27">
        <w:rPr>
          <w:noProof/>
        </w:rPr>
        <w:t>attain</w:t>
      </w:r>
      <w:r w:rsidR="00C53407">
        <w:rPr>
          <w:noProof/>
        </w:rPr>
        <w:t xml:space="preserve"> a complete metathesis</w:t>
      </w:r>
      <w:r w:rsidR="00531B27">
        <w:rPr>
          <w:noProof/>
        </w:rPr>
        <w:t>,</w:t>
      </w:r>
      <w:r w:rsidR="00C53407">
        <w:rPr>
          <w:noProof/>
        </w:rPr>
        <w:t xml:space="preserve"> the </w:t>
      </w:r>
      <w:r w:rsidR="00C53407">
        <w:rPr>
          <w:noProof/>
        </w:rPr>
        <w:lastRenderedPageBreak/>
        <w:t xml:space="preserve">acetate anion has to be fully protonated and the final product has to be successfully partitioned from the acetic acid </w:t>
      </w:r>
      <w:r w:rsidR="00531B27">
        <w:rPr>
          <w:noProof/>
        </w:rPr>
        <w:t xml:space="preserve">residue </w:t>
      </w:r>
      <w:r w:rsidR="00C53407">
        <w:rPr>
          <w:noProof/>
        </w:rPr>
        <w:t>(</w:t>
      </w:r>
      <w:r w:rsidR="00531B27">
        <w:rPr>
          <w:noProof/>
        </w:rPr>
        <w:t xml:space="preserve">e.g. </w:t>
      </w:r>
      <w:r w:rsidR="00C53407">
        <w:rPr>
          <w:noProof/>
        </w:rPr>
        <w:t>solvent extraction</w:t>
      </w:r>
      <w:r w:rsidR="00531B27">
        <w:rPr>
          <w:noProof/>
        </w:rPr>
        <w:t>,</w:t>
      </w:r>
      <w:r w:rsidR="00C53407">
        <w:rPr>
          <w:noProof/>
        </w:rPr>
        <w:t xml:space="preserve"> evaporation). To deterimine </w:t>
      </w:r>
      <w:r>
        <w:rPr>
          <w:noProof/>
        </w:rPr>
        <w:t>a</w:t>
      </w:r>
      <w:r w:rsidR="00C53407">
        <w:rPr>
          <w:noProof/>
        </w:rPr>
        <w:t xml:space="preserve"> viable acid for the acidic metathesis we applied the </w:t>
      </w:r>
      <w:r w:rsidR="00FE54FA" w:rsidRPr="00FE54FA">
        <w:rPr>
          <w:noProof/>
        </w:rPr>
        <w:t>Henderson-Hasselbach</w:t>
      </w:r>
      <w:r w:rsidR="00C53407">
        <w:rPr>
          <w:noProof/>
        </w:rPr>
        <w:t xml:space="preserve"> equation (Equation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20" w:type="dxa"/>
          <w:left w:w="0" w:type="dxa"/>
          <w:bottom w:w="120" w:type="dxa"/>
          <w:right w:w="0" w:type="dxa"/>
        </w:tblCellMar>
        <w:tblLook w:val="04A0" w:firstRow="1" w:lastRow="0" w:firstColumn="1" w:lastColumn="0" w:noHBand="0" w:noVBand="1"/>
      </w:tblPr>
      <w:tblGrid>
        <w:gridCol w:w="4544"/>
        <w:gridCol w:w="445"/>
      </w:tblGrid>
      <w:tr w:rsidR="00C53407" w14:paraId="524C1A67" w14:textId="77777777" w:rsidTr="00E15B99">
        <w:tc>
          <w:tcPr>
            <w:tcW w:w="4628" w:type="dxa"/>
            <w:vAlign w:val="center"/>
          </w:tcPr>
          <w:p w14:paraId="56F6F1B5" w14:textId="06376C7D" w:rsidR="00C53407" w:rsidRPr="00D15268" w:rsidRDefault="0074554D" w:rsidP="00023A1B">
            <w:pPr>
              <w:jc w:val="center"/>
              <w:rPr>
                <w:lang w:val="en-US"/>
              </w:rPr>
            </w:pPr>
            <w:r>
              <w:rPr>
                <w:b/>
                <w:bCs/>
                <w:noProof/>
                <w:lang w:val="en-US" w:eastAsia="fi-FI"/>
              </w:rPr>
              <w:pict w14:anchorId="5E2EA2B6">
                <v:shape id="_x0000_i1027" type="#_x0000_t75" style="width:87pt;height:19.5pt">
                  <v:imagedata r:id="rId21" o:title=""/>
                </v:shape>
              </w:pict>
            </w:r>
          </w:p>
        </w:tc>
        <w:tc>
          <w:tcPr>
            <w:tcW w:w="361" w:type="dxa"/>
            <w:vAlign w:val="center"/>
          </w:tcPr>
          <w:p w14:paraId="5AA3A05E" w14:textId="4599A870" w:rsidR="00C53407" w:rsidRDefault="00C53407" w:rsidP="000B50FA">
            <w:pPr>
              <w:pStyle w:val="RSCB02ArticleText"/>
            </w:pPr>
            <w:r>
              <w:t>[</w:t>
            </w:r>
            <w:r w:rsidR="00C61A9E">
              <w:rPr>
                <w:noProof/>
              </w:rPr>
              <w:t>1</w:t>
            </w:r>
            <w:r>
              <w:t>]</w:t>
            </w:r>
          </w:p>
        </w:tc>
      </w:tr>
    </w:tbl>
    <w:p w14:paraId="6F35BF8A" w14:textId="77777777" w:rsidR="008318AE" w:rsidRDefault="00E15B99" w:rsidP="000B50FA">
      <w:pPr>
        <w:pStyle w:val="RSCB02ArticleText"/>
        <w:rPr>
          <w:noProof/>
        </w:rPr>
      </w:pPr>
      <w:r>
        <w:rPr>
          <w:noProof/>
        </w:rPr>
        <w:t xml:space="preserve">The equation above </w:t>
      </w:r>
      <w:r w:rsidR="00730F4D">
        <w:rPr>
          <w:noProof/>
        </w:rPr>
        <w:t>resolved for</w:t>
      </w:r>
      <w:r>
        <w:rPr>
          <w:noProof/>
        </w:rPr>
        <w:t xml:space="preserve"> the </w:t>
      </w:r>
      <w:r>
        <w:rPr>
          <w:noProof/>
          <w:lang w:val="en-US"/>
        </w:rPr>
        <w:t>pK</w:t>
      </w:r>
      <w:r w:rsidRPr="00B0752D">
        <w:rPr>
          <w:noProof/>
          <w:vertAlign w:val="subscript"/>
          <w:lang w:val="en-US"/>
        </w:rPr>
        <w:t>a</w:t>
      </w:r>
      <w:r>
        <w:rPr>
          <w:noProof/>
        </w:rPr>
        <w:t xml:space="preserve"> of acetic acid (4.76) allowed us to determine the minimum pH at which the acetic acid is fully protonated</w:t>
      </w:r>
      <w:r w:rsidR="00E92682">
        <w:rPr>
          <w:noProof/>
        </w:rPr>
        <w:t>,</w:t>
      </w:r>
      <w:r w:rsidR="00E92682" w:rsidRPr="00E92682">
        <w:t xml:space="preserve"> </w:t>
      </w:r>
      <w:r w:rsidR="00E92682">
        <w:t xml:space="preserve"> in this case assuming 99.9%</w:t>
      </w:r>
      <w:r>
        <w:rPr>
          <w:noProof/>
        </w:rPr>
        <w:t xml:space="preserve"> (</w:t>
      </w:r>
      <w:r w:rsidR="00C61A9E">
        <w:t xml:space="preserve">Figure </w:t>
      </w:r>
      <w:r w:rsidR="00C61A9E">
        <w:rPr>
          <w:noProof/>
        </w:rPr>
        <w:t>3</w:t>
      </w:r>
      <w:r>
        <w:rPr>
          <w:noProof/>
        </w:rPr>
        <w:t xml:space="preserve">). </w:t>
      </w:r>
      <w:r w:rsidR="00F2594E">
        <w:t>Resolving the equation with a protonated molar fraction corresponding to 99.</w:t>
      </w:r>
      <w:r w:rsidR="009A3BB0">
        <w:t>9%</w:t>
      </w:r>
      <w:r w:rsidR="00F2594E">
        <w:t xml:space="preserve"> and the </w:t>
      </w:r>
      <w:r w:rsidR="00F2594E">
        <w:rPr>
          <w:noProof/>
          <w:lang w:val="en-US"/>
        </w:rPr>
        <w:t>pK</w:t>
      </w:r>
      <w:r w:rsidR="00F2594E" w:rsidRPr="00B0752D">
        <w:rPr>
          <w:noProof/>
          <w:vertAlign w:val="subscript"/>
          <w:lang w:val="en-US"/>
        </w:rPr>
        <w:t>a</w:t>
      </w:r>
      <w:r w:rsidR="00F2594E" w:rsidRPr="008B4343">
        <w:t xml:space="preserve"> </w:t>
      </w:r>
      <w:r w:rsidR="00F2594E">
        <w:t xml:space="preserve">of acetic acid (4.76) it </w:t>
      </w:r>
      <w:r w:rsidR="00857600">
        <w:t>resulted</w:t>
      </w:r>
      <w:r w:rsidR="00F2594E">
        <w:t xml:space="preserve"> that the acetic acid is fully protonated for solutions with a pH below </w:t>
      </w:r>
      <w:r w:rsidR="008B4343" w:rsidRPr="008B4343">
        <w:t>1.76</w:t>
      </w:r>
      <w:r w:rsidR="00F2594E">
        <w:t xml:space="preserve">. Therefore, any acid with a </w:t>
      </w:r>
      <w:r w:rsidR="00F2594E">
        <w:rPr>
          <w:noProof/>
          <w:lang w:val="en-US"/>
        </w:rPr>
        <w:t>pK</w:t>
      </w:r>
      <w:r w:rsidR="00F2594E" w:rsidRPr="00B0752D">
        <w:rPr>
          <w:noProof/>
          <w:vertAlign w:val="subscript"/>
          <w:lang w:val="en-US"/>
        </w:rPr>
        <w:t>a</w:t>
      </w:r>
      <w:r w:rsidR="00F2594E">
        <w:rPr>
          <w:noProof/>
          <w:vertAlign w:val="subscript"/>
          <w:lang w:val="en-US"/>
        </w:rPr>
        <w:t xml:space="preserve"> </w:t>
      </w:r>
      <w:r w:rsidR="00F2594E">
        <w:t>below 1.76 satis</w:t>
      </w:r>
      <w:r w:rsidR="00531B27">
        <w:t>fies the first requirement for achieving</w:t>
      </w:r>
      <w:r w:rsidR="00F2594E">
        <w:t xml:space="preserve"> complete metathesis.</w:t>
      </w:r>
    </w:p>
    <w:p w14:paraId="2C36378D" w14:textId="38F23511" w:rsidR="00AA3071" w:rsidRDefault="00DF13DA" w:rsidP="000B50FA">
      <w:pPr>
        <w:pStyle w:val="RSCB02ArticleText"/>
      </w:pPr>
      <w:r>
        <w:t xml:space="preserve">All acetate salts </w:t>
      </w:r>
      <w:r w:rsidR="0090440E">
        <w:t xml:space="preserve">in this study </w:t>
      </w:r>
      <w:r>
        <w:t>were soluble in water.</w:t>
      </w:r>
      <w:r w:rsidR="00FC4361" w:rsidRPr="00FC4361">
        <w:t xml:space="preserve"> </w:t>
      </w:r>
      <w:r w:rsidR="00FC4361">
        <w:t xml:space="preserve">In some </w:t>
      </w:r>
      <w:r w:rsidR="00F01FB7">
        <w:t>metathesis</w:t>
      </w:r>
      <w:r w:rsidR="00FC4361">
        <w:t>, a</w:t>
      </w:r>
      <w:r w:rsidR="00F2594E">
        <w:t xml:space="preserve">cetic acid </w:t>
      </w:r>
      <w:r w:rsidR="00BC361A">
        <w:t xml:space="preserve">removal </w:t>
      </w:r>
      <w:r w:rsidR="00FC4361">
        <w:t>wa</w:t>
      </w:r>
      <w:r w:rsidR="00531B27">
        <w:t xml:space="preserve">s </w:t>
      </w:r>
      <w:r w:rsidR="00F217D1">
        <w:t>problematic</w:t>
      </w:r>
      <w:r w:rsidR="00AC5BFA">
        <w:t>,</w:t>
      </w:r>
      <w:r w:rsidR="00F2594E">
        <w:t xml:space="preserve"> but </w:t>
      </w:r>
      <w:r w:rsidR="00F217D1">
        <w:t xml:space="preserve">the hydrophobicity </w:t>
      </w:r>
      <w:r w:rsidR="00EF1358">
        <w:t xml:space="preserve">of </w:t>
      </w:r>
      <w:r w:rsidR="00F2594E">
        <w:t xml:space="preserve">our class of materials </w:t>
      </w:r>
      <w:r w:rsidR="00FC4361">
        <w:t xml:space="preserve">facilitated the </w:t>
      </w:r>
      <w:r w:rsidR="00CF27BA">
        <w:t>isolation</w:t>
      </w:r>
      <w:r w:rsidR="00FC4361">
        <w:t xml:space="preserve"> of the products</w:t>
      </w:r>
      <w:r w:rsidR="00F217D1">
        <w:t>.</w:t>
      </w:r>
      <w:r>
        <w:t xml:space="preserve"> </w:t>
      </w:r>
    </w:p>
    <w:p w14:paraId="7B9B79A1" w14:textId="24ABAED4" w:rsidR="00CE1791" w:rsidRDefault="00F217D1" w:rsidP="00D865C7">
      <w:pPr>
        <w:pStyle w:val="RSCB02ArticleText"/>
      </w:pPr>
      <w:r>
        <w:t>Imidazolium nitrate</w:t>
      </w:r>
      <w:r w:rsidR="00D41AFF">
        <w:t xml:space="preserve"> salts</w:t>
      </w:r>
      <w:r>
        <w:t xml:space="preserve"> </w:t>
      </w:r>
      <w:r w:rsidR="00727A92">
        <w:t>were</w:t>
      </w:r>
      <w:r>
        <w:t xml:space="preserve"> partitioned out of the </w:t>
      </w:r>
      <w:r w:rsidR="00D41AFF">
        <w:t>aqueous</w:t>
      </w:r>
      <w:r>
        <w:t xml:space="preserve"> layer</w:t>
      </w:r>
      <w:r w:rsidR="00531B27">
        <w:t>,</w:t>
      </w:r>
      <w:r>
        <w:t xml:space="preserve"> </w:t>
      </w:r>
      <w:r w:rsidR="00D41AFF">
        <w:t xml:space="preserve">forming a </w:t>
      </w:r>
      <w:r w:rsidR="00310EE4">
        <w:t xml:space="preserve">floating </w:t>
      </w:r>
      <w:r w:rsidR="00FC4361">
        <w:t>immiscible</w:t>
      </w:r>
      <w:r w:rsidR="00D41AFF">
        <w:t xml:space="preserve"> product</w:t>
      </w:r>
      <w:r w:rsidR="00D865C7">
        <w:t xml:space="preserve"> (ESI Synthetical</w:t>
      </w:r>
      <w:r w:rsidR="00D865C7" w:rsidRPr="00D865C7">
        <w:t xml:space="preserve"> procedure </w:t>
      </w:r>
      <w:r w:rsidR="00D865C7">
        <w:t>5)</w:t>
      </w:r>
      <w:r w:rsidR="00D41AFF">
        <w:t>.</w:t>
      </w:r>
      <w:r w:rsidR="00DF13DA">
        <w:t xml:space="preserve"> </w:t>
      </w:r>
      <w:r w:rsidR="008318E7">
        <w:t>Instead</w:t>
      </w:r>
      <w:r w:rsidR="00CD366A">
        <w:t>, for the chloride salts</w:t>
      </w:r>
      <w:r w:rsidR="00AA3071">
        <w:t xml:space="preserve"> partitioning was </w:t>
      </w:r>
      <w:r w:rsidR="00D41AFF" w:rsidRPr="000B50FA">
        <w:t>en</w:t>
      </w:r>
      <w:r w:rsidR="00AA3071" w:rsidRPr="000B50FA">
        <w:t>forced</w:t>
      </w:r>
      <w:r w:rsidR="00AA3071">
        <w:t xml:space="preserve"> via the use of concentrated hydrochloric acid, which salted out </w:t>
      </w:r>
      <w:r w:rsidR="00857600">
        <w:t xml:space="preserve">of </w:t>
      </w:r>
      <w:r w:rsidR="00AA3071">
        <w:t xml:space="preserve">the ionic liquid due to the </w:t>
      </w:r>
      <w:r w:rsidR="0088088E">
        <w:t>ionic nature</w:t>
      </w:r>
      <w:r w:rsidR="00AA3071">
        <w:t xml:space="preserve"> of the aqueous layer</w:t>
      </w:r>
      <w:r w:rsidR="00CD366A">
        <w:t>, caused by the acid self-ionization</w:t>
      </w:r>
      <w:r w:rsidR="00AA3071">
        <w:t>.</w:t>
      </w:r>
      <w:r w:rsidR="00CD366A">
        <w:t xml:space="preserve"> The hydrochloric acid excess could be removed either via evaporation under a flow or air or </w:t>
      </w:r>
      <w:r w:rsidR="000A43D3">
        <w:t>after</w:t>
      </w:r>
      <w:r w:rsidR="00CD366A">
        <w:t xml:space="preserve"> washing the ionic liquid dissolved in a small amount of an apolar organic solvent</w:t>
      </w:r>
      <w:r w:rsidR="000A43D3">
        <w:t xml:space="preserve"> with water</w:t>
      </w:r>
      <w:r w:rsidR="00D865C7">
        <w:t xml:space="preserve"> (ESI Synthetical</w:t>
      </w:r>
      <w:r w:rsidR="00D865C7" w:rsidRPr="00D865C7">
        <w:t xml:space="preserve"> procedure </w:t>
      </w:r>
      <w:r w:rsidR="00D865C7">
        <w:t>4)</w:t>
      </w:r>
      <w:r w:rsidR="00CD366A">
        <w:t>.</w:t>
      </w:r>
    </w:p>
    <w:p w14:paraId="38F0F2B0" w14:textId="24CFFB76" w:rsidR="00EF788A" w:rsidRDefault="0090440E" w:rsidP="000B50FA">
      <w:pPr>
        <w:pStyle w:val="RSCB02ArticleText"/>
      </w:pPr>
      <w:r>
        <w:t>Hydro</w:t>
      </w:r>
      <w:r w:rsidR="0088088E">
        <w:t>gen o</w:t>
      </w:r>
      <w:r w:rsidR="00D41AFF">
        <w:t xml:space="preserve">xalate salts </w:t>
      </w:r>
      <w:r w:rsidR="00FC3359">
        <w:t xml:space="preserve">could be isolated in high purity </w:t>
      </w:r>
      <w:r w:rsidR="00381409">
        <w:t>due to the oxalic acid strong acidity (pK</w:t>
      </w:r>
      <w:r w:rsidR="00381409" w:rsidRPr="00FC3359">
        <w:rPr>
          <w:vertAlign w:val="subscript"/>
        </w:rPr>
        <w:t>a</w:t>
      </w:r>
      <w:r w:rsidR="00381409" w:rsidRPr="00FC3359">
        <w:t>:</w:t>
      </w:r>
      <w:r w:rsidR="00381409">
        <w:t xml:space="preserve"> </w:t>
      </w:r>
      <w:r w:rsidR="00381409" w:rsidRPr="00DF13DA">
        <w:t>1.25, 4.14</w:t>
      </w:r>
      <w:r w:rsidR="00381409">
        <w:t xml:space="preserve">) </w:t>
      </w:r>
      <w:r w:rsidR="00FC3359">
        <w:t xml:space="preserve">via </w:t>
      </w:r>
      <w:r w:rsidR="00D41AFF">
        <w:t>e</w:t>
      </w:r>
      <w:r w:rsidR="00531B27">
        <w:t xml:space="preserve">vaporation </w:t>
      </w:r>
      <w:r w:rsidR="00381409">
        <w:t xml:space="preserve">above the salt melting point </w:t>
      </w:r>
      <w:r w:rsidR="00DA6315">
        <w:t>under a flow of air</w:t>
      </w:r>
      <w:r w:rsidR="00D41AFF">
        <w:t>.</w:t>
      </w:r>
      <w:r w:rsidR="00D15268">
        <w:rPr>
          <w:rStyle w:val="FootnoteReference"/>
        </w:rPr>
        <w:fldChar w:fldCharType="begin" w:fldLock="1"/>
      </w:r>
      <w:r w:rsidR="00AB19EC">
        <w:instrText>ADDIN CSL_CITATION {"citationItems":[{"id":"ITEM-1","itemData":{"author":[{"dropping-particle":"","family":"Sillén","given":"Lars Gunnar","non-dropping-particle":"","parse-names":false,"suffix":""},{"dropping-particle":"","family":"Martell","given":"Arthur Earl","non-dropping-particle":"","parse-names":false,"suffix":""},{"dropping-particle":"","family":"Bjerrum","given":"Jannik","non-dropping-particle":"","parse-names":false,"suffix":""},{"dropping-particle":"","family":"Schwarzenbach","given":"Gerold Karl","non-dropping-particle":"","parse-names":false,"suffix":""}],"edition":"2nd ed.","editor":[{"dropping-particle":"","family":"Bjerrum","given":"Jannik","non-dropping-particle":"","parse-names":false,"suffix":""},{"dropping-particle":"","family":"Schwarzenbach","given":"Gerold Karl","non-dropping-particle":"","parse-names":false,"suffix":""},{"dropping-particle":"","family":"Sillén","given":"Lars Gunnar","non-dropping-particle":"","parse-names":false,"suffix":""}],"id":"ITEM-1","issued":{"date-parts":[["1964"]]},"note":"Cover title: Stability constants","number-of-pages":"754","publisher":"London Chemical Society","title":"Stability constants of metal-ion complexes","type":"book"},"uris":["http://www.mendeley.com/documents/?uuid=70aaa56d-de56-457c-9dbc-898f90a6ef20"]}],"mendeley":{"formattedCitation":"&lt;sup&gt;41&lt;/sup&gt;","plainTextFormattedCitation":"41","previouslyFormattedCitation":"&lt;sup&gt;41&lt;/sup&gt;"},"properties":{"noteIndex":0},"schema":"https://github.com/citation-style-language/schema/raw/master/csl-citation.json"}</w:instrText>
      </w:r>
      <w:r w:rsidR="00D15268">
        <w:rPr>
          <w:rStyle w:val="FootnoteReference"/>
        </w:rPr>
        <w:fldChar w:fldCharType="separate"/>
      </w:r>
      <w:r w:rsidR="00AB19EC" w:rsidRPr="00AB19EC">
        <w:rPr>
          <w:bCs/>
          <w:noProof/>
          <w:vertAlign w:val="superscript"/>
          <w:lang w:val="en-US"/>
        </w:rPr>
        <w:t>41</w:t>
      </w:r>
      <w:r w:rsidR="00D15268">
        <w:rPr>
          <w:rStyle w:val="FootnoteReference"/>
        </w:rPr>
        <w:fldChar w:fldCharType="end"/>
      </w:r>
    </w:p>
    <w:p w14:paraId="05A73FD3" w14:textId="77777777" w:rsidR="00CD366A" w:rsidRDefault="00CD366A" w:rsidP="00CD366A">
      <w:pPr>
        <w:pStyle w:val="RSCB07BHeadingSub-Section-standalone"/>
        <w:rPr>
          <w:noProof/>
        </w:rPr>
      </w:pPr>
      <w:r>
        <w:rPr>
          <w:noProof/>
        </w:rPr>
        <w:t xml:space="preserve">Phase characterization and phase interaction </w:t>
      </w:r>
    </w:p>
    <w:p w14:paraId="101A7676" w14:textId="4DCBAA68" w:rsidR="000B50FA" w:rsidRPr="00D15268" w:rsidRDefault="00233BD8" w:rsidP="000B50FA">
      <w:pPr>
        <w:pStyle w:val="RSCB02ArticleText"/>
        <w:rPr>
          <w:lang w:val="en-US"/>
        </w:rPr>
      </w:pPr>
      <w:r>
        <w:t xml:space="preserve">The </w:t>
      </w:r>
      <w:r w:rsidR="00857600">
        <w:t xml:space="preserve">ILs </w:t>
      </w:r>
      <w:r>
        <w:t>were studied f</w:t>
      </w:r>
      <w:r w:rsidR="00BA0507">
        <w:t>or their</w:t>
      </w:r>
      <w:r>
        <w:t xml:space="preserve"> thermal stability and calorimetric phase transition behaviour (</w:t>
      </w:r>
      <w:r w:rsidR="00C61A9E">
        <w:t xml:space="preserve">Figure </w:t>
      </w:r>
      <w:r w:rsidR="00C61A9E">
        <w:rPr>
          <w:noProof/>
        </w:rPr>
        <w:t>4</w:t>
      </w:r>
      <w:r w:rsidR="00857600">
        <w:t xml:space="preserve">, </w:t>
      </w:r>
      <w:r w:rsidR="00912D6B" w:rsidRPr="00CD38CD">
        <w:t xml:space="preserve">ESI. Table </w:t>
      </w:r>
      <w:r w:rsidR="00912D6B">
        <w:t>S1</w:t>
      </w:r>
      <w:r>
        <w:t>).</w:t>
      </w:r>
      <w:r w:rsidR="004F2E19">
        <w:t xml:space="preserve"> </w:t>
      </w:r>
      <w:r>
        <w:rPr>
          <w:lang w:val="en-US"/>
        </w:rPr>
        <w:t>The stability of the ionic liquids appears to be directly correlated to the anion basicity</w:t>
      </w:r>
      <w:r w:rsidR="008D72BB">
        <w:rPr>
          <w:lang w:val="en-US"/>
        </w:rPr>
        <w:t xml:space="preserve"> ([NO</w:t>
      </w:r>
      <w:r w:rsidR="008D72BB">
        <w:rPr>
          <w:rFonts w:cstheme="minorHAnsi"/>
          <w:lang w:val="en-US"/>
        </w:rPr>
        <w:t>₃</w:t>
      </w:r>
      <w:r w:rsidR="008D72BB">
        <w:rPr>
          <w:lang w:val="en-US"/>
        </w:rPr>
        <w:t>]</w:t>
      </w:r>
      <w:r w:rsidR="008D72BB">
        <w:rPr>
          <w:rFonts w:cstheme="minorHAnsi"/>
          <w:lang w:val="en-US"/>
        </w:rPr>
        <w:t>¯</w:t>
      </w:r>
      <w:r w:rsidR="008D72BB">
        <w:rPr>
          <w:lang w:val="en-US"/>
        </w:rPr>
        <w:t xml:space="preserve"> &gt; [Cl]</w:t>
      </w:r>
      <w:r w:rsidR="008D72BB">
        <w:rPr>
          <w:rFonts w:cstheme="minorHAnsi"/>
          <w:lang w:val="en-US"/>
        </w:rPr>
        <w:t>¯</w:t>
      </w:r>
      <w:r w:rsidR="008D72BB">
        <w:rPr>
          <w:lang w:val="en-US"/>
        </w:rPr>
        <w:t xml:space="preserve"> &gt; [Ox]</w:t>
      </w:r>
      <w:r w:rsidR="008D72BB">
        <w:rPr>
          <w:rFonts w:cstheme="minorHAnsi"/>
          <w:lang w:val="en-US"/>
        </w:rPr>
        <w:t>¯</w:t>
      </w:r>
      <w:r w:rsidR="008D72BB">
        <w:rPr>
          <w:lang w:val="en-US"/>
        </w:rPr>
        <w:t xml:space="preserve"> &gt; [Ac]</w:t>
      </w:r>
      <w:r w:rsidR="008D72BB">
        <w:rPr>
          <w:rFonts w:cstheme="minorHAnsi"/>
          <w:lang w:val="en-US"/>
        </w:rPr>
        <w:t>¯)</w:t>
      </w:r>
      <w:r>
        <w:rPr>
          <w:lang w:val="en-US"/>
        </w:rPr>
        <w:t xml:space="preserve">. This </w:t>
      </w:r>
      <w:r w:rsidR="00857600">
        <w:rPr>
          <w:lang w:val="en-US"/>
        </w:rPr>
        <w:t>could</w:t>
      </w:r>
      <w:r>
        <w:rPr>
          <w:lang w:val="en-US"/>
        </w:rPr>
        <w:t xml:space="preserve"> be </w:t>
      </w:r>
      <w:r w:rsidR="00EB5A8E">
        <w:rPr>
          <w:lang w:val="en-US"/>
        </w:rPr>
        <w:t>cor</w:t>
      </w:r>
      <w:r>
        <w:rPr>
          <w:lang w:val="en-US"/>
        </w:rPr>
        <w:t xml:space="preserve">related to the ability of the anion to extract the front proton from the imidazolium ring, which </w:t>
      </w:r>
      <w:r w:rsidR="00BF6A66">
        <w:rPr>
          <w:lang w:val="en-US"/>
        </w:rPr>
        <w:t xml:space="preserve">would </w:t>
      </w:r>
      <w:r w:rsidR="00857600">
        <w:rPr>
          <w:lang w:val="en-US"/>
        </w:rPr>
        <w:t xml:space="preserve">imply </w:t>
      </w:r>
      <w:r>
        <w:rPr>
          <w:lang w:val="en-US"/>
        </w:rPr>
        <w:t>a decom</w:t>
      </w:r>
      <w:r w:rsidR="00EB5A8E">
        <w:rPr>
          <w:lang w:val="en-US"/>
        </w:rPr>
        <w:t xml:space="preserve">position path </w:t>
      </w:r>
      <w:r w:rsidR="00857600">
        <w:rPr>
          <w:lang w:val="en-US"/>
        </w:rPr>
        <w:t>encompassing</w:t>
      </w:r>
      <w:r>
        <w:rPr>
          <w:lang w:val="en-US"/>
        </w:rPr>
        <w:t xml:space="preserve"> </w:t>
      </w:r>
      <w:r w:rsidR="00621E0B">
        <w:rPr>
          <w:lang w:val="en-US"/>
        </w:rPr>
        <w:t xml:space="preserve">a carbene </w:t>
      </w:r>
      <w:r w:rsidR="008D72BB">
        <w:rPr>
          <w:lang w:val="en-US"/>
        </w:rPr>
        <w:t>intermediate</w:t>
      </w:r>
      <w:r w:rsidR="00621E0B">
        <w:rPr>
          <w:lang w:val="en-US"/>
        </w:rPr>
        <w:t>.</w:t>
      </w:r>
      <w:r w:rsidR="00EB5A8E">
        <w:rPr>
          <w:lang w:val="en-US"/>
        </w:rPr>
        <w:t xml:space="preserve"> </w:t>
      </w:r>
      <w:r w:rsidR="00BA0507">
        <w:rPr>
          <w:lang w:val="en-US"/>
        </w:rPr>
        <w:t>However</w:t>
      </w:r>
      <w:r w:rsidR="00EB5A8E">
        <w:rPr>
          <w:lang w:val="en-US"/>
        </w:rPr>
        <w:t xml:space="preserve">, it is believed that the decomposition pathway goes </w:t>
      </w:r>
      <w:r w:rsidR="00857600">
        <w:rPr>
          <w:lang w:val="en-US"/>
        </w:rPr>
        <w:t xml:space="preserve">generally </w:t>
      </w:r>
      <w:r w:rsidR="00EB5A8E">
        <w:rPr>
          <w:lang w:val="en-US"/>
        </w:rPr>
        <w:t xml:space="preserve">via a reverse </w:t>
      </w:r>
      <w:r w:rsidR="00EB5A8E" w:rsidRPr="00EB5A8E">
        <w:rPr>
          <w:lang w:val="en-US"/>
        </w:rPr>
        <w:t xml:space="preserve">Menshutkin </w:t>
      </w:r>
      <w:r w:rsidR="00EB5A8E">
        <w:rPr>
          <w:lang w:val="en-US"/>
        </w:rPr>
        <w:t>reaction</w:t>
      </w:r>
      <w:r w:rsidR="004F162B">
        <w:rPr>
          <w:lang w:val="en-US"/>
        </w:rPr>
        <w:t>.</w:t>
      </w:r>
      <w:r w:rsidR="00A7308F" w:rsidRPr="00A7308F">
        <w:rPr>
          <w:noProof/>
          <w:vertAlign w:val="superscript"/>
          <w:lang w:val="en-US"/>
        </w:rPr>
        <w:t>41</w:t>
      </w:r>
      <w:r w:rsidR="003A1DF0" w:rsidRPr="003A1DF0">
        <w:rPr>
          <w:lang w:val="en-US"/>
        </w:rPr>
        <w:t xml:space="preserve"> </w:t>
      </w:r>
      <w:r w:rsidR="003A1DF0">
        <w:rPr>
          <w:lang w:val="en-US"/>
        </w:rPr>
        <w:t>Differential scan calorimetry was carried out for each of the salts (</w:t>
      </w:r>
      <w:r w:rsidR="00912D6B" w:rsidRPr="00CD38CD">
        <w:t xml:space="preserve">ESI. Table </w:t>
      </w:r>
      <w:r w:rsidR="00912D6B">
        <w:t>S1</w:t>
      </w:r>
      <w:r w:rsidR="003A1DF0">
        <w:rPr>
          <w:lang w:val="en-US"/>
        </w:rPr>
        <w:t xml:space="preserve">). </w:t>
      </w:r>
      <w:r w:rsidR="008318AE">
        <w:t xml:space="preserve">Amongst the many ionic liquids tested, 1,3-di(dodecyl)imidazolium nitrate, 1,3-di(tetradecyl)imidazolium nitrate, and 1,3-di(tetradecyl)imidazolium chloride displayed a rather complex transition pattern, with multiple transitions in the range between 20 </w:t>
      </w:r>
      <w:r w:rsidR="008318AE" w:rsidRPr="00CD38CD">
        <w:t xml:space="preserve">and 70 </w:t>
      </w:r>
      <w:r w:rsidR="008318AE" w:rsidRPr="00CD38CD">
        <w:rPr>
          <w:rFonts w:cstheme="minorHAnsi"/>
        </w:rPr>
        <w:t>°</w:t>
      </w:r>
      <w:r w:rsidR="008318AE" w:rsidRPr="00CD38CD">
        <w:t>C.</w:t>
      </w:r>
      <w:r w:rsidR="00D15268">
        <w:rPr>
          <w:lang w:val="en-US"/>
        </w:rPr>
        <w:fldChar w:fldCharType="begin" w:fldLock="1"/>
      </w:r>
      <w:r w:rsidR="00AB19EC">
        <w:rPr>
          <w:lang w:val="en-US"/>
        </w:rPr>
        <w:instrText>ADDIN CSL_CITATION {"citationItems":[{"id":"ITEM-1","itemData":{"DOI":"10.1039/c3cs60071h","ISSN":"14604744","abstract":"The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 ? 2013 The Royal Society of Chemistry.","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Reviews","id":"ITEM-1","issue":"13","issued":{"date-parts":[["2013"]]},"page":"5963-5977","title":"Ionic liquid thermal stabilities: Decomposition mechanisms and analysis tools","type":"article-journal","volume":"42"},"uris":["http://www.mendeley.com/documents/?uuid=f0520216-4d2a-4a34-be2b-09c3f9ae5aa8"]}],"mendeley":{"formattedCitation":"&lt;sup&gt;42&lt;/sup&gt;","plainTextFormattedCitation":"42","previouslyFormattedCitation":"&lt;sup&gt;42&lt;/sup&gt;"},"properties":{"noteIndex":0},"schema":"https://github.com/citation-style-language/schema/raw/master/csl-citation.json"}</w:instrText>
      </w:r>
      <w:r w:rsidR="00D15268">
        <w:rPr>
          <w:lang w:val="en-US"/>
        </w:rPr>
        <w:fldChar w:fldCharType="separate"/>
      </w:r>
      <w:r w:rsidR="00AB19EC" w:rsidRPr="00AB19EC">
        <w:rPr>
          <w:noProof/>
          <w:vertAlign w:val="superscript"/>
          <w:lang w:val="en-US"/>
        </w:rPr>
        <w:t>42</w:t>
      </w:r>
      <w:r w:rsidR="00D15268">
        <w:rPr>
          <w:lang w:val="en-US"/>
        </w:rPr>
        <w:fldChar w:fldCharType="end"/>
      </w:r>
    </w:p>
    <w:tbl>
      <w:tblPr>
        <w:tblStyle w:val="TableGrid"/>
        <w:tblpPr w:tblpYSpec="bottom"/>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0" w:type="dxa"/>
          <w:right w:w="0" w:type="dxa"/>
        </w:tblCellMar>
        <w:tblLook w:val="04A0" w:firstRow="1" w:lastRow="0" w:firstColumn="1" w:lastColumn="0" w:noHBand="0" w:noVBand="1"/>
      </w:tblPr>
      <w:tblGrid>
        <w:gridCol w:w="4989"/>
      </w:tblGrid>
      <w:tr w:rsidR="000B50FA" w:rsidRPr="0099372D" w14:paraId="779EDA4A" w14:textId="77777777" w:rsidTr="00231772">
        <w:trPr>
          <w:trHeight w:val="20"/>
        </w:trPr>
        <w:tc>
          <w:tcPr>
            <w:tcW w:w="4989" w:type="dxa"/>
            <w:vAlign w:val="center"/>
          </w:tcPr>
          <w:p w14:paraId="2E1BB295" w14:textId="76090053" w:rsidR="000B50FA" w:rsidRDefault="0074554D" w:rsidP="00231772">
            <w:pPr>
              <w:pStyle w:val="RSCI02FigureSchemeChartwithtopbar"/>
              <w:jc w:val="center"/>
            </w:pPr>
            <w:r>
              <w:pict w14:anchorId="778493B7">
                <v:shape id="_x0000_i1028" type="#_x0000_t75" style="width:243.55pt;height:151.85pt">
                  <v:imagedata r:id="rId22" o:title="reaction_scheme"/>
                </v:shape>
              </w:pict>
            </w:r>
          </w:p>
        </w:tc>
      </w:tr>
      <w:tr w:rsidR="000B50FA" w:rsidRPr="0070029B" w14:paraId="5B8D0947" w14:textId="77777777" w:rsidTr="00D865C7">
        <w:trPr>
          <w:trHeight w:val="20"/>
        </w:trPr>
        <w:tc>
          <w:tcPr>
            <w:tcW w:w="4989" w:type="dxa"/>
          </w:tcPr>
          <w:p w14:paraId="242932C2" w14:textId="77777777" w:rsidR="000B50FA" w:rsidRPr="0070029B" w:rsidRDefault="000B50FA" w:rsidP="00D865C7">
            <w:pPr>
              <w:pStyle w:val="RSCI04CaptiontoFigureSchemeChart"/>
              <w:rPr>
                <w:lang w:val="en-US"/>
              </w:rPr>
            </w:pPr>
            <w:r>
              <w:t xml:space="preserve">Scheme </w:t>
            </w:r>
            <w:r>
              <w:rPr>
                <w:noProof/>
              </w:rPr>
              <w:t>4</w:t>
            </w:r>
            <w:r>
              <w:t>.</w:t>
            </w:r>
            <w:r w:rsidRPr="0088210F">
              <w:t xml:space="preserve"> General </w:t>
            </w:r>
            <w:r>
              <w:t xml:space="preserve">stepwise </w:t>
            </w:r>
            <w:r w:rsidRPr="0088210F">
              <w:t xml:space="preserve">reaction </w:t>
            </w:r>
            <w:r>
              <w:t xml:space="preserve">scheme </w:t>
            </w:r>
            <w:r w:rsidRPr="0088210F">
              <w:t xml:space="preserve">of </w:t>
            </w:r>
            <w:r>
              <w:t>the modified Debus</w:t>
            </w:r>
            <w:r>
              <w:sym w:font="Symbol" w:char="F02D"/>
            </w:r>
            <w:r>
              <w:t xml:space="preserve">Radziszewski imidazolium synthesis. </w:t>
            </w:r>
          </w:p>
        </w:tc>
      </w:tr>
    </w:tbl>
    <w:tbl>
      <w:tblPr>
        <w:tblStyle w:val="TableGrid"/>
        <w:tblpPr w:leftFromText="181" w:rightFromText="181" w:topFromText="181" w:bottomFromText="181" w:tblpY="361"/>
        <w:tblOverlap w:val="never"/>
        <w:tblW w:w="4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9"/>
      </w:tblGrid>
      <w:tr w:rsidR="00912D6B" w:rsidRPr="008B4343" w14:paraId="24182382" w14:textId="77777777" w:rsidTr="00782362">
        <w:trPr>
          <w:trHeight w:val="20"/>
        </w:trPr>
        <w:tc>
          <w:tcPr>
            <w:tcW w:w="4989" w:type="dxa"/>
            <w:vAlign w:val="center"/>
          </w:tcPr>
          <w:p w14:paraId="1F308983" w14:textId="77777777" w:rsidR="00912D6B" w:rsidRPr="0099372D" w:rsidRDefault="00912D6B" w:rsidP="00782362">
            <w:pPr>
              <w:pStyle w:val="char"/>
            </w:pPr>
            <w:r>
              <w:rPr>
                <w:noProof/>
                <w:lang w:val="fi-FI" w:eastAsia="fi-FI"/>
              </w:rPr>
              <w:fldChar w:fldCharType="begin"/>
            </w:r>
            <w:r>
              <w:rPr>
                <w:noProof/>
                <w:lang w:val="fi-FI" w:eastAsia="fi-FI"/>
              </w:rPr>
              <w:instrText xml:space="preserve"> INCLUDEPICTURE </w:instrText>
            </w:r>
            <w:r>
              <w:rPr>
                <w:noProof/>
              </w:rPr>
              <w:instrText>"</w:instrText>
            </w:r>
            <w:r>
              <w:rPr>
                <w:noProof/>
              </w:rPr>
              <w:fldChar w:fldCharType="begin"/>
            </w:r>
            <w:r>
              <w:rPr>
                <w:noProof/>
              </w:rPr>
              <w:instrText xml:space="preserve"> DOCPROPERTY location </w:instrText>
            </w:r>
            <w:r>
              <w:rPr>
                <w:noProof/>
              </w:rPr>
              <w:fldChar w:fldCharType="separate"/>
            </w:r>
            <w:r>
              <w:rPr>
                <w:noProof/>
              </w:rPr>
              <w:instrText>C:\Users\u0113193\Desktop\script\imidazolium\</w:instrText>
            </w:r>
            <w:r>
              <w:rPr>
                <w:noProof/>
              </w:rPr>
              <w:fldChar w:fldCharType="end"/>
            </w:r>
            <w:r>
              <w:rPr>
                <w:noProof/>
              </w:rPr>
              <w:instrText>images</w:instrText>
            </w:r>
            <w:r w:rsidRPr="00B11615">
              <w:rPr>
                <w:noProof/>
              </w:rPr>
              <w:instrText>\</w:instrText>
            </w:r>
            <w:r>
              <w:rPr>
                <w:noProof/>
              </w:rPr>
              <w:instrText>\</w:instrText>
            </w:r>
            <w:r w:rsidRPr="00680207">
              <w:rPr>
                <w:noProof/>
              </w:rPr>
              <w:instrText>decomposition_point</w:instrText>
            </w:r>
            <w:r>
              <w:rPr>
                <w:noProof/>
              </w:rPr>
              <w:instrText xml:space="preserve">.png" </w:instrText>
            </w:r>
            <w:r>
              <w:rPr>
                <w:noProof/>
                <w:lang w:val="fi-FI" w:eastAsia="fi-FI"/>
              </w:rPr>
              <w:instrText xml:space="preserve">\* MERGEFORMAT </w:instrText>
            </w:r>
            <w:r>
              <w:rPr>
                <w:noProof/>
                <w:lang w:val="fi-FI"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"C:\\Users\\u0113193\\Desktop\\script\\imidazolium\\images\\decomposition_point.png" \* MERGEFORMATINET </w:instrText>
            </w:r>
            <w:r>
              <w:rPr>
                <w:b/>
                <w:bCs/>
                <w:noProof/>
                <w:lang w:val="en-US" w:eastAsia="fi-FI"/>
              </w:rPr>
              <w:fldChar w:fldCharType="separate"/>
            </w:r>
            <w:r>
              <w:rPr>
                <w:b/>
                <w:bCs/>
                <w:noProof/>
                <w:lang w:val="en-US" w:eastAsia="fi-FI"/>
              </w:rPr>
              <w:fldChar w:fldCharType="begin"/>
            </w:r>
            <w:r>
              <w:rPr>
                <w:b/>
                <w:bCs/>
                <w:noProof/>
                <w:lang w:val="en-US" w:eastAsia="fi-FI"/>
              </w:rPr>
              <w:instrText xml:space="preserve"> INCLUDEPICTURE  "C:\\Users\\u0113193\\Box Sync\\Desktop\\script\\imidazolium\\images\\decomposition_point.png" \* MERGEFORMATINET </w:instrText>
            </w:r>
            <w:r>
              <w:rPr>
                <w:b/>
                <w:bCs/>
                <w:noProof/>
                <w:lang w:val="en-US" w:eastAsia="fi-FI"/>
              </w:rPr>
              <w:fldChar w:fldCharType="separate"/>
            </w:r>
            <w:r w:rsidR="000D2776">
              <w:rPr>
                <w:b/>
                <w:bCs/>
                <w:noProof/>
                <w:lang w:val="en-US" w:eastAsia="fi-FI"/>
              </w:rPr>
              <w:fldChar w:fldCharType="begin"/>
            </w:r>
            <w:r w:rsidR="000D2776">
              <w:rPr>
                <w:b/>
                <w:bCs/>
                <w:noProof/>
                <w:lang w:val="en-US" w:eastAsia="fi-FI"/>
              </w:rPr>
              <w:instrText xml:space="preserve"> INCLUDEPICTURE  "C:\\Users\\u0113193\\Box Sync\\Desktop\\script\\imidazolium\\images\\decomposition_point.png" \* MERGEFORMATINET </w:instrText>
            </w:r>
            <w:r w:rsidR="000D2776">
              <w:rPr>
                <w:b/>
                <w:bCs/>
                <w:noProof/>
                <w:lang w:val="en-US" w:eastAsia="fi-FI"/>
              </w:rPr>
              <w:fldChar w:fldCharType="separate"/>
            </w:r>
            <w:r w:rsidR="00721C96">
              <w:rPr>
                <w:b/>
                <w:bCs/>
                <w:noProof/>
                <w:lang w:val="en-US" w:eastAsia="fi-FI"/>
              </w:rPr>
              <w:fldChar w:fldCharType="begin"/>
            </w:r>
            <w:r w:rsidR="00721C96">
              <w:rPr>
                <w:b/>
                <w:bCs/>
                <w:noProof/>
                <w:lang w:val="en-US" w:eastAsia="fi-FI"/>
              </w:rPr>
              <w:instrText xml:space="preserve"> </w:instrText>
            </w:r>
            <w:r w:rsidR="00721C96">
              <w:rPr>
                <w:b/>
                <w:bCs/>
                <w:noProof/>
                <w:lang w:val="en-US" w:eastAsia="fi-FI"/>
              </w:rPr>
              <w:instrText>INCLUDEPICTURE  "C:\\Users\\u0113193\\Box Sync\\Desktop\\script\\imidazolium\\images\\decomposition_point.png" \* MERGEFORMATINET</w:instrText>
            </w:r>
            <w:r w:rsidR="00721C96">
              <w:rPr>
                <w:b/>
                <w:bCs/>
                <w:noProof/>
                <w:lang w:val="en-US" w:eastAsia="fi-FI"/>
              </w:rPr>
              <w:instrText xml:space="preserve"> </w:instrText>
            </w:r>
            <w:r w:rsidR="00721C96">
              <w:rPr>
                <w:b/>
                <w:bCs/>
                <w:noProof/>
                <w:lang w:val="en-US" w:eastAsia="fi-FI"/>
              </w:rPr>
              <w:fldChar w:fldCharType="separate"/>
            </w:r>
            <w:r w:rsidR="0074554D">
              <w:rPr>
                <w:b/>
                <w:bCs/>
                <w:noProof/>
                <w:lang w:val="en-US" w:eastAsia="fi-FI"/>
              </w:rPr>
              <w:pict w14:anchorId="6298E906">
                <v:shape id="_x0000_i1029" type="#_x0000_t75" style="width:250.2pt;height:216.75pt">
                  <v:imagedata r:id="rId23" r:href="rId24"/>
                </v:shape>
              </w:pict>
            </w:r>
            <w:r w:rsidR="00721C96">
              <w:rPr>
                <w:b/>
                <w:bCs/>
                <w:noProof/>
                <w:lang w:val="en-US" w:eastAsia="fi-FI"/>
              </w:rPr>
              <w:fldChar w:fldCharType="end"/>
            </w:r>
            <w:r w:rsidR="000D2776">
              <w:rPr>
                <w:b/>
                <w:bCs/>
                <w:noProof/>
                <w:lang w:val="en-US" w:eastAsia="fi-FI"/>
              </w:rPr>
              <w:fldChar w:fldCharType="end"/>
            </w:r>
            <w:r>
              <w:rPr>
                <w:b/>
                <w:bCs/>
                <w:noProof/>
                <w:lang w:val="en-US" w:eastAsia="fi-FI"/>
              </w:rPr>
              <w:fldChar w:fldCharType="end"/>
            </w:r>
            <w:r>
              <w:rPr>
                <w:b/>
                <w:bCs/>
                <w:noProof/>
                <w:lang w:val="en-US" w:eastAsia="fi-FI"/>
              </w:rPr>
              <w:fldChar w:fldCharType="end"/>
            </w:r>
            <w:r>
              <w:rPr>
                <w:b/>
                <w:bCs/>
                <w:noProof/>
                <w:lang w:val="en-US" w:eastAsia="fi-FI"/>
              </w:rPr>
              <w:fldChar w:fldCharType="end"/>
            </w:r>
            <w:r>
              <w:rPr>
                <w:b/>
                <w:bCs/>
                <w:noProof/>
                <w:lang w:val="en-US" w:eastAsia="fi-FI"/>
              </w:rPr>
              <w:fldChar w:fldCharType="end"/>
            </w:r>
            <w:r>
              <w:rPr>
                <w:b/>
                <w:bCs/>
                <w:noProof/>
                <w:lang w:val="en-US" w:eastAsia="fi-FI"/>
              </w:rPr>
              <w:fldChar w:fldCharType="end"/>
            </w:r>
            <w:r>
              <w:rPr>
                <w:b/>
                <w:bCs/>
                <w:noProof/>
                <w:lang w:val="en-US" w:eastAsia="fi-FI"/>
              </w:rPr>
              <w:fldChar w:fldCharType="end"/>
            </w:r>
            <w:r>
              <w:rPr>
                <w:b/>
                <w:bCs/>
                <w:noProof/>
                <w:lang w:val="en-US" w:eastAsia="fi-FI"/>
              </w:rPr>
              <w:fldChar w:fldCharType="end"/>
            </w:r>
            <w:r>
              <w:rPr>
                <w:b/>
                <w:bCs/>
                <w:noProof/>
                <w:lang w:val="en-US" w:eastAsia="fi-FI"/>
              </w:rPr>
              <w:fldChar w:fldCharType="end"/>
            </w:r>
            <w:r>
              <w:rPr>
                <w:noProof/>
                <w:lang w:val="fi-FI" w:eastAsia="fi-FI"/>
              </w:rPr>
              <w:fldChar w:fldCharType="end"/>
            </w:r>
          </w:p>
        </w:tc>
      </w:tr>
      <w:tr w:rsidR="00912D6B" w:rsidRPr="00B80AB8" w14:paraId="0656AF73" w14:textId="77777777" w:rsidTr="00782362">
        <w:trPr>
          <w:trHeight w:val="20"/>
        </w:trPr>
        <w:tc>
          <w:tcPr>
            <w:tcW w:w="4989" w:type="dxa"/>
          </w:tcPr>
          <w:p w14:paraId="4D16FF8D" w14:textId="5B33F08E" w:rsidR="00912D6B" w:rsidRPr="008F38B3" w:rsidRDefault="00912D6B" w:rsidP="00403593">
            <w:pPr>
              <w:pStyle w:val="RSCI05CaptiontoFigureSchemeChartwithbottombar"/>
              <w:rPr>
                <w:lang w:val="en-US"/>
              </w:rPr>
            </w:pPr>
            <w:bookmarkStart w:id="22" w:name="_Ref26956294"/>
            <w:r>
              <w:t xml:space="preserve">Figure </w:t>
            </w:r>
            <w:bookmarkEnd w:id="22"/>
            <w:r w:rsidR="00403593">
              <w:t>4</w:t>
            </w:r>
            <w:r w:rsidRPr="005C49C3">
              <w:t xml:space="preserve">. </w:t>
            </w:r>
            <w:r w:rsidRPr="008F38B3">
              <w:rPr>
                <w:lang w:val="en-US"/>
              </w:rPr>
              <w:t>G</w:t>
            </w:r>
            <w:r>
              <w:rPr>
                <w:lang w:val="en-US"/>
              </w:rPr>
              <w:t>raphical repr</w:t>
            </w:r>
            <w:r w:rsidRPr="008F38B3">
              <w:rPr>
                <w:lang w:val="en-US"/>
              </w:rPr>
              <w:t xml:space="preserve">esentation of the </w:t>
            </w:r>
            <w:r>
              <w:rPr>
                <w:lang w:val="en-US"/>
              </w:rPr>
              <w:t>one percent decomposition onset point determined via a ramped thermo-gravimetric analysis with a step of 10 degrees per minute scan between 25 and 500 degrees Celsius in an aluminum pan. Decomposition temperatures appears to be chiefly correlated to the anion class and basicity. Ionic liquids stability follows the following order: [NO</w:t>
            </w:r>
            <w:r>
              <w:rPr>
                <w:rFonts w:cstheme="minorHAnsi"/>
                <w:lang w:val="en-US"/>
              </w:rPr>
              <w:t>₃</w:t>
            </w:r>
            <w:r>
              <w:rPr>
                <w:lang w:val="en-US"/>
              </w:rPr>
              <w:t>]</w:t>
            </w:r>
            <w:r>
              <w:rPr>
                <w:rFonts w:cstheme="minorHAnsi"/>
                <w:lang w:val="en-US"/>
              </w:rPr>
              <w:t>¯</w:t>
            </w:r>
            <w:r>
              <w:rPr>
                <w:lang w:val="en-US"/>
              </w:rPr>
              <w:t xml:space="preserve"> &gt; [Cl]</w:t>
            </w:r>
            <w:r>
              <w:rPr>
                <w:rFonts w:cstheme="minorHAnsi"/>
                <w:lang w:val="en-US"/>
              </w:rPr>
              <w:t>¯</w:t>
            </w:r>
            <w:r>
              <w:rPr>
                <w:lang w:val="en-US"/>
              </w:rPr>
              <w:t xml:space="preserve"> &gt; [Ox]</w:t>
            </w:r>
            <w:r>
              <w:rPr>
                <w:rFonts w:cstheme="minorHAnsi"/>
                <w:lang w:val="en-US"/>
              </w:rPr>
              <w:t>¯</w:t>
            </w:r>
            <w:r>
              <w:rPr>
                <w:lang w:val="en-US"/>
              </w:rPr>
              <w:t xml:space="preserve"> &gt; [Ac]</w:t>
            </w:r>
            <w:r>
              <w:rPr>
                <w:rFonts w:cstheme="minorHAnsi"/>
                <w:lang w:val="en-US"/>
              </w:rPr>
              <w:t>¯, which is from the least basic to the most basic anion</w:t>
            </w:r>
            <w:r>
              <w:rPr>
                <w:lang w:val="en-US"/>
              </w:rPr>
              <w:t>. The thermo-gravimetric graph of each ionic liquid is available within the electronic supporting information.</w:t>
            </w:r>
          </w:p>
        </w:tc>
      </w:tr>
    </w:tbl>
    <w:p w14:paraId="151826A2" w14:textId="677204BD" w:rsidR="000B50FA" w:rsidRDefault="000A0B06" w:rsidP="000B50FA">
      <w:pPr>
        <w:pStyle w:val="RSCB02ArticleText"/>
      </w:pPr>
      <w:r>
        <w:t>The water</w:t>
      </w:r>
      <w:r w:rsidR="00AC5BFA">
        <w:t>-</w:t>
      </w:r>
      <w:r>
        <w:t xml:space="preserve">soluble </w:t>
      </w:r>
      <w:r w:rsidR="004F6187">
        <w:t xml:space="preserve">imidazolium salts showed a </w:t>
      </w:r>
      <w:r w:rsidR="001F5D13">
        <w:t xml:space="preserve">surfactant </w:t>
      </w:r>
      <w:r>
        <w:t>behaviour during dissolution in water, which was further investigated.</w:t>
      </w:r>
      <w:r w:rsidR="00AB19EC">
        <w:rPr>
          <w:rStyle w:val="FootnoteReference"/>
        </w:rPr>
        <w:fldChar w:fldCharType="begin" w:fldLock="1"/>
      </w:r>
      <w:r w:rsidR="00AB19EC">
        <w:instrText>ADDIN CSL_CITATION {"citationItems":[{"id":"ITEM-1","itemData":{"DOI":"10.1021/cr0400919","ISBN":"0009-2665","ISSN":"00092665","PMID":"16277373","abstract":"A review with many refs. on prepn., properties and structure of org. and inorg.-org. ionic salts as liq. crystals. [on SciFinder(R)]","author":[{"dropping-particle":"","family":"Binnemans","given":"Koen","non-dropping-particle":"","parse-names":false,"suffix":""}],"container-title":"Chemical Reviews","id":"ITEM-1","issue":"11","issued":{"date-parts":[["2005"]]},"page":"4148-4204","title":"Ionic liquid crystals","type":"article-journal","volume":"105"},"uris":["http://www.mendeley.com/documents/?uuid=4501f00d-a22f-49fc-8d6a-cbed80a893c8"]},{"id":"ITEM-2","itemData":{"DOI":"10.1021/cr400334b","ISSN":"15206890","abstract":"This Review covers the recent developments (2005-2015) in the design, synthesis, characterization, and application of thermotropic ionic liquid crystals. It was designed to give a comprehensive overview of the \"state-of-the-art\" in the field. The discussion is focused on low molar mass and dendrimeric thermotropic ionic mesogens, as well as selected metal-containing compounds (metallomesogens), but some references to polymeric and/or lyotropic ionic liquid crystals and particularly to ionic liquids will also be provided. Although zwitterionic and mesoionic mesogens are also treated to some extent, emphasis will be directed toward liquid-crystalline materials consisting of organic cations and organic/inorganic anions that are not covalently bound but interact via electrostatic and other noncovalent interactions.","author":[{"dropping-particle":"","family":"Goossens","given":"Karel","non-dropping-particle":"","parse-names":false,"suffix":""},{"dropping-particle":"","family":"Lava","given":"Kathleen","non-dropping-particle":"","parse-names":false,"suffix":""},{"dropping-particle":"","family":"Bielawski","given":"Christopher W.","non-dropping-particle":"","parse-names":false,"suffix":""},{"dropping-particle":"","family":"Binnemans","given":"Koen","non-dropping-particle":"","parse-names":false,"suffix":""}],"container-title":"Chemical Reviews","id":"ITEM-2","issue":"8","issued":{"date-parts":[["2016"]]},"page":"4643-4807","title":"Ionic Liquid Crystals: Versatile Materials","type":"article-journal","volume":"116"},"uris":["http://www.mendeley.com/documents/?uuid=e6d5b8a1-df9b-41fa-a1a1-3e1ecc770c75"]}],"mendeley":{"formattedCitation":"&lt;sup&gt;43,44&lt;/sup&gt;","plainTextFormattedCitation":"43,44","previouslyFormattedCitation":"&lt;sup&gt;43,44&lt;/sup&gt;"},"properties":{"noteIndex":0},"schema":"https://github.com/citation-style-language/schema/raw/master/csl-citation.json"}</w:instrText>
      </w:r>
      <w:r w:rsidR="00AB19EC">
        <w:rPr>
          <w:rStyle w:val="FootnoteReference"/>
        </w:rPr>
        <w:fldChar w:fldCharType="separate"/>
      </w:r>
      <w:r w:rsidR="00AB19EC" w:rsidRPr="00AB19EC">
        <w:rPr>
          <w:noProof/>
          <w:vertAlign w:val="superscript"/>
        </w:rPr>
        <w:t>43,44</w:t>
      </w:r>
      <w:r w:rsidR="00AB19EC">
        <w:rPr>
          <w:rStyle w:val="FootnoteReference"/>
        </w:rPr>
        <w:fldChar w:fldCharType="end"/>
      </w:r>
      <w:r>
        <w:t xml:space="preserve"> The compunds from 1,3-di(octyl)imidazolium acetate to 1,3-di(tetradecyl)imidazolium aceta</w:t>
      </w:r>
      <w:r w:rsidR="004F6187">
        <w:t>te developed a marked foam in a</w:t>
      </w:r>
      <w:r>
        <w:t>queous solutions. This behaviour was characterised via the use of a capped measuring cylinder (</w:t>
      </w:r>
      <w:r w:rsidR="00C61A9E">
        <w:t xml:space="preserve">Table </w:t>
      </w:r>
      <w:r w:rsidR="00912D6B">
        <w:rPr>
          <w:noProof/>
        </w:rPr>
        <w:t>3</w:t>
      </w:r>
      <w:r>
        <w:t>, ESI</w:t>
      </w:r>
      <w:r w:rsidR="00346C6E">
        <w:t xml:space="preserve"> </w:t>
      </w:r>
      <w:r w:rsidR="00346C6E" w:rsidRPr="00346C6E">
        <w:t>Analytical procedure 3</w:t>
      </w:r>
      <w:r>
        <w:t xml:space="preserve">). </w:t>
      </w:r>
      <w:r w:rsidR="00C82CA3">
        <w:t>The analysis showed the 1,3-</w:t>
      </w:r>
      <w:r w:rsidR="00AC5BBA">
        <w:t>d</w:t>
      </w:r>
      <w:r w:rsidR="00C82CA3">
        <w:t xml:space="preserve">i(decyl)imidazolium acetate to hold an extremely remarkable foaming behaviour, with a foam height about 3 to 4 times higher than the one obtained with </w:t>
      </w:r>
      <w:r w:rsidR="00AC5BBA">
        <w:t>the</w:t>
      </w:r>
      <w:r w:rsidR="00C82CA3">
        <w:t xml:space="preserve"> reference compound (i.e. sodium dodecyl</w:t>
      </w:r>
      <w:r w:rsidR="004F6187">
        <w:t xml:space="preserve"> </w:t>
      </w:r>
      <w:r w:rsidR="00C82CA3">
        <w:t>sulfate).</w:t>
      </w:r>
    </w:p>
    <w:p w14:paraId="7B5E6B4F" w14:textId="79093214" w:rsidR="00CD366A" w:rsidRDefault="00A63979" w:rsidP="000B50FA">
      <w:pPr>
        <w:pStyle w:val="RSCB02ArticleText"/>
      </w:pPr>
      <w:r>
        <w:t xml:space="preserve">The foaming ability was especially marked at low pH. The increased foaming capability at low pH could be indicative of a higher foaming strength of the </w:t>
      </w:r>
      <w:r w:rsidR="00235D91">
        <w:t>1,3-</w:t>
      </w:r>
      <w:r w:rsidR="00AC5BBA">
        <w:t>d</w:t>
      </w:r>
      <w:r w:rsidR="00235D91">
        <w:t>i(d</w:t>
      </w:r>
      <w:r>
        <w:t>ecyl)imidazolium chloride, which is the main salt present at low pH due to the acidification with hydrochloric acid.</w:t>
      </w:r>
      <w:r w:rsidR="000A0B06">
        <w:t xml:space="preserve"> </w:t>
      </w:r>
      <w:r w:rsidR="00CD366A">
        <w:t xml:space="preserve">Also </w:t>
      </w:r>
      <w:r w:rsidR="00235D91">
        <w:t>1,3-</w:t>
      </w:r>
      <w:r w:rsidR="00AC5BBA">
        <w:t>d</w:t>
      </w:r>
      <w:r w:rsidR="00235D91">
        <w:t>i(d</w:t>
      </w:r>
      <w:r w:rsidR="007D782F">
        <w:t>odecyl)</w:t>
      </w:r>
      <w:r w:rsidR="00CD366A">
        <w:t xml:space="preserve">imidazolium acetate had a marked foaming ability but, differently from </w:t>
      </w:r>
      <w:r w:rsidR="00235D91">
        <w:t>1,3-</w:t>
      </w:r>
      <w:r w:rsidR="00AC5BBA">
        <w:t>d</w:t>
      </w:r>
      <w:r w:rsidR="00235D91">
        <w:t>i(d</w:t>
      </w:r>
      <w:r w:rsidR="007D782F">
        <w:t>ecyl)</w:t>
      </w:r>
      <w:r w:rsidR="00CD366A">
        <w:t xml:space="preserve">imidazolium acetate, it was not influenced by acidification of the solution with hydrochloric acid. This acidification effect was observed up to </w:t>
      </w:r>
      <w:r w:rsidR="00235D91">
        <w:t>1,3-</w:t>
      </w:r>
      <w:r w:rsidR="00AC5BBA">
        <w:t>d</w:t>
      </w:r>
      <w:r w:rsidR="00235D91">
        <w:t>i(d</w:t>
      </w:r>
      <w:r w:rsidR="007D782F">
        <w:t>ecyl)</w:t>
      </w:r>
      <w:r w:rsidR="00CD366A">
        <w:t xml:space="preserve">imidazolium acetate, whereas from </w:t>
      </w:r>
      <w:r w:rsidR="00235D91">
        <w:t>1,3-</w:t>
      </w:r>
      <w:r w:rsidR="00AC5BBA">
        <w:lastRenderedPageBreak/>
        <w:t>d</w:t>
      </w:r>
      <w:r w:rsidR="00235D91">
        <w:t>i(d</w:t>
      </w:r>
      <w:r w:rsidR="007D782F">
        <w:t>odecyl)</w:t>
      </w:r>
      <w:r w:rsidR="00CD366A">
        <w:t>imidazolium acetate and above there was no difference with respect to the pH of the environment.</w:t>
      </w:r>
    </w:p>
    <w:tbl>
      <w:tblPr>
        <w:tblStyle w:val="TableGrid"/>
        <w:tblpPr w:tblpXSpec="inside" w:tblpY="1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79"/>
      </w:tblGrid>
      <w:tr w:rsidR="00912D6B" w14:paraId="0201A101" w14:textId="77777777" w:rsidTr="00912D6B">
        <w:tc>
          <w:tcPr>
            <w:tcW w:w="4979" w:type="dxa"/>
          </w:tcPr>
          <w:p w14:paraId="44B6CB73" w14:textId="77777777" w:rsidR="00912D6B" w:rsidRDefault="00912D6B" w:rsidP="00912D6B">
            <w:pPr>
              <w:pStyle w:val="RSCT02Tabletitlewithouttopbar"/>
            </w:pPr>
            <w:bookmarkStart w:id="23" w:name="_Ref26912804"/>
            <w:r>
              <w:t xml:space="preserve">Table </w:t>
            </w:r>
            <w:bookmarkEnd w:id="23"/>
            <w:r>
              <w:rPr>
                <w:noProof/>
              </w:rPr>
              <w:t>3</w:t>
            </w:r>
            <w:r>
              <w:t xml:space="preserve">. Foaming properties of the synthesised imidazolium acetate salts carried out via a </w:t>
            </w:r>
            <w:r w:rsidRPr="0088088E">
              <w:t>Bartsch foaming test</w:t>
            </w:r>
          </w:p>
          <w:tbl>
            <w:tblPr>
              <w:tblW w:w="5618" w:type="dxa"/>
              <w:tblLayout w:type="fixed"/>
              <w:tblCellMar>
                <w:left w:w="0" w:type="dxa"/>
                <w:right w:w="0" w:type="dxa"/>
              </w:tblCellMar>
              <w:tblLook w:val="04A0" w:firstRow="1" w:lastRow="0" w:firstColumn="1" w:lastColumn="0" w:noHBand="0" w:noVBand="1"/>
            </w:tblPr>
            <w:tblGrid>
              <w:gridCol w:w="969"/>
              <w:gridCol w:w="794"/>
              <w:gridCol w:w="794"/>
              <w:gridCol w:w="1701"/>
              <w:gridCol w:w="680"/>
              <w:gridCol w:w="680"/>
            </w:tblGrid>
            <w:tr w:rsidR="00912D6B" w:rsidRPr="00DB06E2" w14:paraId="701EE7E9" w14:textId="77777777" w:rsidTr="00782362">
              <w:trPr>
                <w:trHeight w:val="157"/>
              </w:trPr>
              <w:tc>
                <w:tcPr>
                  <w:tcW w:w="862" w:type="pct"/>
                  <w:shd w:val="clear" w:color="auto" w:fill="auto"/>
                  <w:noWrap/>
                  <w:vAlign w:val="center"/>
                </w:tcPr>
                <w:p w14:paraId="33A7CCE6" w14:textId="77777777" w:rsidR="00912D6B" w:rsidRPr="00DB06E2" w:rsidRDefault="00912D6B" w:rsidP="0074554D">
                  <w:pPr>
                    <w:pStyle w:val="RSCT05TableFootnotewithoutbottombar"/>
                    <w:framePr w:wrap="around" w:hAnchor="text" w:xAlign="inside" w:y="182"/>
                    <w:spacing w:before="0" w:after="0"/>
                    <w:suppressOverlap/>
                    <w:jc w:val="center"/>
                    <w:rPr>
                      <w:lang w:val="en-US"/>
                    </w:rPr>
                  </w:pPr>
                </w:p>
              </w:tc>
              <w:tc>
                <w:tcPr>
                  <w:tcW w:w="1413" w:type="pct"/>
                  <w:gridSpan w:val="2"/>
                  <w:shd w:val="clear" w:color="auto" w:fill="auto"/>
                  <w:noWrap/>
                  <w:vAlign w:val="center"/>
                  <w:hideMark/>
                </w:tcPr>
                <w:p w14:paraId="476C7064" w14:textId="77777777" w:rsidR="00912D6B" w:rsidRPr="00DB06E2" w:rsidRDefault="00912D6B" w:rsidP="0074554D">
                  <w:pPr>
                    <w:pStyle w:val="RSCT05TableFootnotewithoutbottombar"/>
                    <w:framePr w:wrap="around" w:hAnchor="text" w:xAlign="inside" w:y="182"/>
                    <w:spacing w:before="0" w:after="0"/>
                    <w:suppressOverlap/>
                    <w:jc w:val="center"/>
                    <w:rPr>
                      <w:lang w:val="en-US"/>
                    </w:rPr>
                  </w:pPr>
                  <w:r w:rsidRPr="00DB06E2">
                    <w:rPr>
                      <w:lang w:val="en-US"/>
                    </w:rPr>
                    <w:t xml:space="preserve">Foam height / </w:t>
                  </w:r>
                  <w:r>
                    <w:rPr>
                      <w:lang w:val="en-US"/>
                    </w:rPr>
                    <w:t>[</w:t>
                  </w:r>
                  <w:r w:rsidRPr="00DB06E2">
                    <w:rPr>
                      <w:lang w:val="en-US"/>
                    </w:rPr>
                    <w:t>cm (pH)</w:t>
                  </w:r>
                  <w:r>
                    <w:rPr>
                      <w:lang w:val="en-US"/>
                    </w:rPr>
                    <w:t>]</w:t>
                  </w:r>
                </w:p>
              </w:tc>
              <w:tc>
                <w:tcPr>
                  <w:tcW w:w="1514" w:type="pct"/>
                  <w:shd w:val="clear" w:color="auto" w:fill="auto"/>
                  <w:vAlign w:val="center"/>
                </w:tcPr>
                <w:p w14:paraId="26208831" w14:textId="77777777" w:rsidR="00912D6B" w:rsidRPr="00DB06E2" w:rsidRDefault="00912D6B" w:rsidP="0074554D">
                  <w:pPr>
                    <w:pStyle w:val="RSCT05TableFootnotewithoutbottombar"/>
                    <w:framePr w:wrap="around" w:hAnchor="text" w:xAlign="inside" w:y="182"/>
                    <w:spacing w:before="0" w:after="0"/>
                    <w:suppressOverlap/>
                    <w:jc w:val="center"/>
                    <w:rPr>
                      <w:lang w:val="en-US"/>
                    </w:rPr>
                  </w:pPr>
                </w:p>
              </w:tc>
              <w:tc>
                <w:tcPr>
                  <w:tcW w:w="605" w:type="pct"/>
                  <w:shd w:val="clear" w:color="auto" w:fill="auto"/>
                  <w:noWrap/>
                  <w:vAlign w:val="center"/>
                </w:tcPr>
                <w:p w14:paraId="49158DCD" w14:textId="77777777" w:rsidR="00912D6B" w:rsidRPr="00DB06E2" w:rsidRDefault="00912D6B" w:rsidP="0074554D">
                  <w:pPr>
                    <w:pStyle w:val="RSCT05TableFootnotewithoutbottombar"/>
                    <w:framePr w:wrap="around" w:hAnchor="text" w:xAlign="inside" w:y="182"/>
                    <w:spacing w:before="0" w:after="0"/>
                    <w:suppressOverlap/>
                    <w:jc w:val="center"/>
                    <w:rPr>
                      <w:lang w:val="en-US"/>
                    </w:rPr>
                  </w:pPr>
                </w:p>
              </w:tc>
              <w:tc>
                <w:tcPr>
                  <w:tcW w:w="605" w:type="pct"/>
                </w:tcPr>
                <w:p w14:paraId="5AEDCEAF" w14:textId="77777777" w:rsidR="00912D6B" w:rsidRPr="00DB06E2" w:rsidRDefault="00912D6B" w:rsidP="0074554D">
                  <w:pPr>
                    <w:pStyle w:val="RSCT05TableFootnotewithoutbottombar"/>
                    <w:framePr w:wrap="around" w:hAnchor="text" w:xAlign="inside" w:y="182"/>
                    <w:spacing w:before="0" w:after="0"/>
                    <w:suppressOverlap/>
                    <w:jc w:val="center"/>
                    <w:rPr>
                      <w:lang w:val="en-US"/>
                    </w:rPr>
                  </w:pPr>
                </w:p>
              </w:tc>
            </w:tr>
            <w:tr w:rsidR="00912D6B" w:rsidRPr="00DB06E2" w14:paraId="7FB4E3D1" w14:textId="77777777" w:rsidTr="00782362">
              <w:trPr>
                <w:trHeight w:val="460"/>
              </w:trPr>
              <w:tc>
                <w:tcPr>
                  <w:tcW w:w="862" w:type="pct"/>
                  <w:shd w:val="clear" w:color="auto" w:fill="auto"/>
                  <w:vAlign w:val="center"/>
                  <w:hideMark/>
                </w:tcPr>
                <w:p w14:paraId="6CB3DBC4" w14:textId="77777777" w:rsidR="00912D6B" w:rsidRPr="00DB06E2" w:rsidRDefault="00912D6B" w:rsidP="0074554D">
                  <w:pPr>
                    <w:pStyle w:val="RSCT02Tabletitlewithouttopbar"/>
                    <w:framePr w:wrap="around" w:hAnchor="text" w:xAlign="inside" w:y="182"/>
                    <w:spacing w:before="0"/>
                    <w:suppressOverlap/>
                    <w:jc w:val="center"/>
                    <w:rPr>
                      <w:lang w:val="en-US"/>
                    </w:rPr>
                  </w:pPr>
                  <w:r w:rsidRPr="00DB06E2">
                    <w:rPr>
                      <w:lang w:val="en-US"/>
                    </w:rPr>
                    <w:t>Compound</w:t>
                  </w:r>
                </w:p>
              </w:tc>
              <w:tc>
                <w:tcPr>
                  <w:tcW w:w="707" w:type="pct"/>
                  <w:shd w:val="clear" w:color="auto" w:fill="auto"/>
                  <w:noWrap/>
                  <w:vAlign w:val="center"/>
                  <w:hideMark/>
                </w:tcPr>
                <w:p w14:paraId="4B02CD70" w14:textId="77777777" w:rsidR="00912D6B" w:rsidRPr="00DB06E2" w:rsidRDefault="00912D6B" w:rsidP="0074554D">
                  <w:pPr>
                    <w:pStyle w:val="RSCT02Tabletitlewithouttopbar"/>
                    <w:framePr w:wrap="around" w:hAnchor="text" w:xAlign="inside" w:y="182"/>
                    <w:spacing w:before="0"/>
                    <w:suppressOverlap/>
                    <w:jc w:val="center"/>
                    <w:rPr>
                      <w:lang w:val="en-US"/>
                    </w:rPr>
                  </w:pPr>
                  <w:r w:rsidRPr="00DB06E2">
                    <w:rPr>
                      <w:lang w:val="en-US"/>
                    </w:rPr>
                    <w:t>Acidic</w:t>
                  </w:r>
                  <w:r>
                    <w:rPr>
                      <w:lang w:val="en-US"/>
                    </w:rPr>
                    <w:t xml:space="preserve"> range</w:t>
                  </w:r>
                </w:p>
              </w:tc>
              <w:tc>
                <w:tcPr>
                  <w:tcW w:w="707" w:type="pct"/>
                  <w:shd w:val="clear" w:color="auto" w:fill="auto"/>
                  <w:noWrap/>
                  <w:vAlign w:val="center"/>
                  <w:hideMark/>
                </w:tcPr>
                <w:p w14:paraId="4590166E" w14:textId="77777777" w:rsidR="00912D6B" w:rsidRPr="00DB06E2" w:rsidRDefault="00912D6B" w:rsidP="0074554D">
                  <w:pPr>
                    <w:pStyle w:val="RSCT02Tabletitlewithouttopbar"/>
                    <w:framePr w:wrap="around" w:hAnchor="text" w:xAlign="inside" w:y="182"/>
                    <w:spacing w:before="0"/>
                    <w:suppressOverlap/>
                    <w:jc w:val="center"/>
                    <w:rPr>
                      <w:lang w:val="en-US"/>
                    </w:rPr>
                  </w:pPr>
                  <w:r w:rsidRPr="00DB06E2">
                    <w:rPr>
                      <w:lang w:val="en-US"/>
                    </w:rPr>
                    <w:t>Basic</w:t>
                  </w:r>
                  <w:r>
                    <w:rPr>
                      <w:lang w:val="en-US"/>
                    </w:rPr>
                    <w:t xml:space="preserve"> range</w:t>
                  </w:r>
                </w:p>
              </w:tc>
              <w:tc>
                <w:tcPr>
                  <w:tcW w:w="1514" w:type="pct"/>
                  <w:shd w:val="clear" w:color="auto" w:fill="auto"/>
                  <w:vAlign w:val="center"/>
                  <w:hideMark/>
                </w:tcPr>
                <w:p w14:paraId="43B96482" w14:textId="77777777" w:rsidR="00912D6B" w:rsidRPr="00DB06E2" w:rsidRDefault="00912D6B" w:rsidP="0074554D">
                  <w:pPr>
                    <w:pStyle w:val="RSCT02Tabletitlewithouttopbar"/>
                    <w:framePr w:wrap="around" w:hAnchor="text" w:xAlign="inside" w:y="182"/>
                    <w:spacing w:before="0"/>
                    <w:suppressOverlap/>
                    <w:jc w:val="center"/>
                    <w:rPr>
                      <w:lang w:val="en-US"/>
                    </w:rPr>
                  </w:pPr>
                  <w:r w:rsidRPr="00DB06E2">
                    <w:rPr>
                      <w:lang w:val="en-US"/>
                    </w:rPr>
                    <w:t>Notes</w:t>
                  </w:r>
                </w:p>
              </w:tc>
              <w:tc>
                <w:tcPr>
                  <w:tcW w:w="605" w:type="pct"/>
                  <w:shd w:val="clear" w:color="auto" w:fill="auto"/>
                  <w:vAlign w:val="center"/>
                  <w:hideMark/>
                </w:tcPr>
                <w:p w14:paraId="3A51B44E" w14:textId="77777777" w:rsidR="00912D6B" w:rsidRPr="00DB06E2" w:rsidRDefault="00912D6B" w:rsidP="0074554D">
                  <w:pPr>
                    <w:pStyle w:val="RSCT02Tabletitlewithouttopbar"/>
                    <w:framePr w:wrap="around" w:hAnchor="text" w:xAlign="inside" w:y="182"/>
                    <w:spacing w:before="0"/>
                    <w:suppressOverlap/>
                    <w:jc w:val="center"/>
                    <w:rPr>
                      <w:lang w:val="en-US"/>
                    </w:rPr>
                  </w:pPr>
                  <w:r w:rsidRPr="00DB06E2">
                    <w:rPr>
                      <w:lang w:val="en-US"/>
                    </w:rPr>
                    <w:t>Bubble size</w:t>
                  </w:r>
                </w:p>
              </w:tc>
              <w:tc>
                <w:tcPr>
                  <w:tcW w:w="605" w:type="pct"/>
                </w:tcPr>
                <w:p w14:paraId="6B7EEF72" w14:textId="77777777" w:rsidR="00912D6B" w:rsidRPr="00DB06E2" w:rsidRDefault="00912D6B" w:rsidP="0074554D">
                  <w:pPr>
                    <w:pStyle w:val="RSCT02Tabletitlewithouttopbar"/>
                    <w:framePr w:wrap="around" w:hAnchor="text" w:xAlign="inside" w:y="182"/>
                    <w:spacing w:before="0"/>
                    <w:suppressOverlap/>
                    <w:jc w:val="center"/>
                    <w:rPr>
                      <w:lang w:val="en-US"/>
                    </w:rPr>
                  </w:pPr>
                </w:p>
              </w:tc>
            </w:tr>
            <w:tr w:rsidR="00912D6B" w:rsidRPr="00DB06E2" w14:paraId="441FCC59" w14:textId="77777777" w:rsidTr="00782362">
              <w:trPr>
                <w:trHeight w:val="312"/>
              </w:trPr>
              <w:tc>
                <w:tcPr>
                  <w:tcW w:w="862" w:type="pct"/>
                  <w:shd w:val="clear" w:color="auto" w:fill="auto"/>
                  <w:noWrap/>
                  <w:vAlign w:val="center"/>
                  <w:hideMark/>
                </w:tcPr>
                <w:p w14:paraId="5994CF6C" w14:textId="77777777" w:rsidR="00912D6B" w:rsidRPr="00DB06E2" w:rsidRDefault="00912D6B" w:rsidP="0074554D">
                  <w:pPr>
                    <w:pStyle w:val="RSCT03TableBody"/>
                    <w:framePr w:wrap="around" w:hAnchor="text" w:xAlign="inside" w:y="182"/>
                    <w:suppressOverlap/>
                    <w:rPr>
                      <w:lang w:val="en-US"/>
                    </w:rPr>
                  </w:pPr>
                  <w:r w:rsidRPr="00DB06E2">
                    <w:rPr>
                      <w:lang w:val="en-US"/>
                    </w:rPr>
                    <w:t>SDS</w:t>
                  </w:r>
                </w:p>
              </w:tc>
              <w:tc>
                <w:tcPr>
                  <w:tcW w:w="707" w:type="pct"/>
                  <w:shd w:val="clear" w:color="auto" w:fill="auto"/>
                  <w:noWrap/>
                  <w:vAlign w:val="center"/>
                  <w:hideMark/>
                </w:tcPr>
                <w:p w14:paraId="3CE63DDF" w14:textId="77777777" w:rsidR="00912D6B" w:rsidRPr="00DB06E2" w:rsidRDefault="00912D6B" w:rsidP="0074554D">
                  <w:pPr>
                    <w:pStyle w:val="RSCT03TableBody"/>
                    <w:framePr w:wrap="around" w:hAnchor="text" w:xAlign="inside" w:y="182"/>
                    <w:suppressOverlap/>
                    <w:rPr>
                      <w:lang w:val="en-US"/>
                    </w:rPr>
                  </w:pPr>
                  <w:r w:rsidRPr="00DB06E2">
                    <w:rPr>
                      <w:lang w:val="en-US"/>
                    </w:rPr>
                    <w:t>26-22 (2-3), 36-33 (5)</w:t>
                  </w:r>
                </w:p>
              </w:tc>
              <w:tc>
                <w:tcPr>
                  <w:tcW w:w="707" w:type="pct"/>
                  <w:shd w:val="clear" w:color="auto" w:fill="auto"/>
                  <w:noWrap/>
                  <w:vAlign w:val="center"/>
                  <w:hideMark/>
                </w:tcPr>
                <w:p w14:paraId="67E07378" w14:textId="77777777" w:rsidR="00912D6B" w:rsidRPr="00DB06E2" w:rsidRDefault="00912D6B" w:rsidP="0074554D">
                  <w:pPr>
                    <w:pStyle w:val="RSCT03TableBody"/>
                    <w:framePr w:wrap="around" w:hAnchor="text" w:xAlign="inside" w:y="182"/>
                    <w:suppressOverlap/>
                    <w:rPr>
                      <w:lang w:val="en-US"/>
                    </w:rPr>
                  </w:pPr>
                  <w:r w:rsidRPr="00DB06E2">
                    <w:rPr>
                      <w:lang w:val="en-US"/>
                    </w:rPr>
                    <w:t>14-10 (12)</w:t>
                  </w:r>
                </w:p>
              </w:tc>
              <w:tc>
                <w:tcPr>
                  <w:tcW w:w="1514" w:type="pct"/>
                  <w:shd w:val="clear" w:color="auto" w:fill="auto"/>
                  <w:noWrap/>
                  <w:vAlign w:val="center"/>
                  <w:hideMark/>
                </w:tcPr>
                <w:p w14:paraId="28BAAC2B" w14:textId="77777777" w:rsidR="00912D6B" w:rsidRPr="00DB06E2" w:rsidRDefault="00912D6B" w:rsidP="0074554D">
                  <w:pPr>
                    <w:pStyle w:val="RSCT03TableBody"/>
                    <w:framePr w:wrap="around" w:hAnchor="text" w:xAlign="inside" w:y="182"/>
                    <w:suppressOverlap/>
                    <w:rPr>
                      <w:lang w:val="en-US"/>
                    </w:rPr>
                  </w:pPr>
                  <w:r w:rsidRPr="00DB06E2">
                    <w:rPr>
                      <w:lang w:val="en-US"/>
                    </w:rPr>
                    <w:t>Readily dissolved,</w:t>
                  </w:r>
                  <w:r>
                    <w:rPr>
                      <w:lang w:val="en-US"/>
                    </w:rPr>
                    <w:br/>
                    <w:t>Very s</w:t>
                  </w:r>
                  <w:r w:rsidRPr="00DB06E2">
                    <w:rPr>
                      <w:lang w:val="en-US"/>
                    </w:rPr>
                    <w:t>table dense foam.</w:t>
                  </w:r>
                </w:p>
              </w:tc>
              <w:tc>
                <w:tcPr>
                  <w:tcW w:w="605" w:type="pct"/>
                  <w:shd w:val="clear" w:color="auto" w:fill="auto"/>
                  <w:noWrap/>
                  <w:vAlign w:val="center"/>
                  <w:hideMark/>
                </w:tcPr>
                <w:p w14:paraId="1C6BC4D7" w14:textId="77777777" w:rsidR="00912D6B" w:rsidRPr="00DB06E2" w:rsidRDefault="00912D6B" w:rsidP="0074554D">
                  <w:pPr>
                    <w:pStyle w:val="RSCT03TableBody"/>
                    <w:framePr w:wrap="around" w:hAnchor="text" w:xAlign="inside" w:y="182"/>
                    <w:suppressOverlap/>
                    <w:rPr>
                      <w:lang w:val="en-US"/>
                    </w:rPr>
                  </w:pPr>
                  <w:r w:rsidRPr="00DB06E2">
                    <w:rPr>
                      <w:lang w:val="en-US"/>
                    </w:rPr>
                    <w:t>S, M</w:t>
                  </w:r>
                </w:p>
              </w:tc>
              <w:tc>
                <w:tcPr>
                  <w:tcW w:w="605" w:type="pct"/>
                </w:tcPr>
                <w:p w14:paraId="6D6B3010" w14:textId="77777777" w:rsidR="00912D6B" w:rsidRPr="00DB06E2" w:rsidRDefault="00912D6B" w:rsidP="0074554D">
                  <w:pPr>
                    <w:pStyle w:val="RSCT03TableBody"/>
                    <w:framePr w:wrap="around" w:hAnchor="text" w:xAlign="inside" w:y="182"/>
                    <w:suppressOverlap/>
                    <w:rPr>
                      <w:lang w:val="en-US"/>
                    </w:rPr>
                  </w:pPr>
                </w:p>
              </w:tc>
            </w:tr>
            <w:tr w:rsidR="00912D6B" w:rsidRPr="00DB06E2" w14:paraId="0CDB54F7" w14:textId="77777777" w:rsidTr="00782362">
              <w:trPr>
                <w:trHeight w:val="312"/>
              </w:trPr>
              <w:tc>
                <w:tcPr>
                  <w:tcW w:w="862" w:type="pct"/>
                  <w:shd w:val="clear" w:color="auto" w:fill="auto"/>
                  <w:noWrap/>
                  <w:vAlign w:val="center"/>
                  <w:hideMark/>
                </w:tcPr>
                <w:p w14:paraId="12EF59F6" w14:textId="77777777" w:rsidR="00912D6B" w:rsidRPr="00DB06E2" w:rsidRDefault="00912D6B" w:rsidP="0074554D">
                  <w:pPr>
                    <w:pStyle w:val="RSCT03TableBody"/>
                    <w:framePr w:wrap="around" w:hAnchor="text" w:xAlign="inside" w:y="182"/>
                    <w:suppressOverlap/>
                    <w:rPr>
                      <w:lang w:val="en-US"/>
                    </w:rPr>
                  </w:pPr>
                  <w:r w:rsidRPr="00DB06E2">
                    <w:rPr>
                      <w:lang w:val="en-US"/>
                    </w:rPr>
                    <w:t>[C₈C₈IM][Ac]</w:t>
                  </w:r>
                </w:p>
              </w:tc>
              <w:tc>
                <w:tcPr>
                  <w:tcW w:w="707" w:type="pct"/>
                  <w:shd w:val="clear" w:color="auto" w:fill="auto"/>
                  <w:noWrap/>
                  <w:vAlign w:val="center"/>
                  <w:hideMark/>
                </w:tcPr>
                <w:p w14:paraId="035AEDDD" w14:textId="77777777" w:rsidR="00912D6B" w:rsidRPr="00DB06E2" w:rsidRDefault="00912D6B" w:rsidP="0074554D">
                  <w:pPr>
                    <w:pStyle w:val="RSCT03TableBody"/>
                    <w:framePr w:wrap="around" w:hAnchor="text" w:xAlign="inside" w:y="182"/>
                    <w:suppressOverlap/>
                    <w:rPr>
                      <w:lang w:val="en-US"/>
                    </w:rPr>
                  </w:pPr>
                  <w:r w:rsidRPr="00DB06E2">
                    <w:rPr>
                      <w:lang w:val="en-US"/>
                    </w:rPr>
                    <w:t>15-6 (2)</w:t>
                  </w:r>
                </w:p>
              </w:tc>
              <w:tc>
                <w:tcPr>
                  <w:tcW w:w="707" w:type="pct"/>
                  <w:shd w:val="clear" w:color="auto" w:fill="auto"/>
                  <w:noWrap/>
                  <w:vAlign w:val="center"/>
                  <w:hideMark/>
                </w:tcPr>
                <w:p w14:paraId="5263F34D" w14:textId="77777777" w:rsidR="00912D6B" w:rsidRPr="00DB06E2" w:rsidRDefault="00912D6B" w:rsidP="0074554D">
                  <w:pPr>
                    <w:pStyle w:val="RSCT03TableBody"/>
                    <w:framePr w:wrap="around" w:hAnchor="text" w:xAlign="inside" w:y="182"/>
                    <w:suppressOverlap/>
                    <w:rPr>
                      <w:lang w:val="en-US"/>
                    </w:rPr>
                  </w:pPr>
                  <w:r w:rsidRPr="00DB06E2">
                    <w:rPr>
                      <w:lang w:val="en-US"/>
                    </w:rPr>
                    <w:t>7-2 (8-9)</w:t>
                  </w:r>
                  <w:r>
                    <w:rPr>
                      <w:lang w:val="en-US"/>
                    </w:rPr>
                    <w:t>,</w:t>
                  </w:r>
                  <w:r>
                    <w:rPr>
                      <w:lang w:val="en-US"/>
                    </w:rPr>
                    <w:br/>
                  </w:r>
                  <w:r w:rsidRPr="00DB06E2">
                    <w:rPr>
                      <w:lang w:val="en-US"/>
                    </w:rPr>
                    <w:t>9-2</w:t>
                  </w:r>
                  <w:r>
                    <w:rPr>
                      <w:lang w:val="en-US"/>
                    </w:rPr>
                    <w:t xml:space="preserve"> </w:t>
                  </w:r>
                  <w:r w:rsidRPr="00DB06E2">
                    <w:rPr>
                      <w:lang w:val="en-US"/>
                    </w:rPr>
                    <w:t>(12-13)</w:t>
                  </w:r>
                </w:p>
              </w:tc>
              <w:tc>
                <w:tcPr>
                  <w:tcW w:w="1514" w:type="pct"/>
                  <w:shd w:val="clear" w:color="auto" w:fill="auto"/>
                  <w:noWrap/>
                  <w:vAlign w:val="center"/>
                  <w:hideMark/>
                </w:tcPr>
                <w:p w14:paraId="5F79BDC4" w14:textId="77777777" w:rsidR="00912D6B" w:rsidRPr="00DB06E2" w:rsidRDefault="00912D6B" w:rsidP="0074554D">
                  <w:pPr>
                    <w:pStyle w:val="RSCT03TableBody"/>
                    <w:framePr w:wrap="around" w:hAnchor="text" w:xAlign="inside" w:y="182"/>
                    <w:suppressOverlap/>
                    <w:rPr>
                      <w:lang w:val="en-US"/>
                    </w:rPr>
                  </w:pPr>
                  <w:r w:rsidRPr="00DB06E2">
                    <w:rPr>
                      <w:lang w:val="en-US"/>
                    </w:rPr>
                    <w:t>Readily dissolved,</w:t>
                  </w:r>
                  <w:r>
                    <w:rPr>
                      <w:lang w:val="en-US"/>
                    </w:rPr>
                    <w:br/>
                    <w:t>P</w:t>
                  </w:r>
                  <w:r w:rsidRPr="00DB06E2">
                    <w:rPr>
                      <w:lang w:val="en-US"/>
                    </w:rPr>
                    <w:t>ale yellow solution</w:t>
                  </w:r>
                  <w:r>
                    <w:rPr>
                      <w:lang w:val="en-US"/>
                    </w:rPr>
                    <w:t>,</w:t>
                  </w:r>
                  <w:r>
                    <w:rPr>
                      <w:lang w:val="en-US"/>
                    </w:rPr>
                    <w:br/>
                    <w:t>Weak</w:t>
                  </w:r>
                  <w:r w:rsidRPr="00DB06E2">
                    <w:rPr>
                      <w:lang w:val="en-US"/>
                    </w:rPr>
                    <w:t xml:space="preserve"> sparse foam.</w:t>
                  </w:r>
                </w:p>
              </w:tc>
              <w:tc>
                <w:tcPr>
                  <w:tcW w:w="605" w:type="pct"/>
                  <w:shd w:val="clear" w:color="auto" w:fill="auto"/>
                  <w:noWrap/>
                  <w:vAlign w:val="center"/>
                  <w:hideMark/>
                </w:tcPr>
                <w:p w14:paraId="5C71FE83" w14:textId="77777777" w:rsidR="00912D6B" w:rsidRPr="00DB06E2" w:rsidRDefault="00912D6B" w:rsidP="0074554D">
                  <w:pPr>
                    <w:pStyle w:val="RSCT03TableBody"/>
                    <w:framePr w:wrap="around" w:hAnchor="text" w:xAlign="inside" w:y="182"/>
                    <w:suppressOverlap/>
                    <w:rPr>
                      <w:lang w:val="en-US"/>
                    </w:rPr>
                  </w:pPr>
                  <w:r w:rsidRPr="00DB06E2">
                    <w:rPr>
                      <w:lang w:val="en-US"/>
                    </w:rPr>
                    <w:t>S</w:t>
                  </w:r>
                </w:p>
              </w:tc>
              <w:tc>
                <w:tcPr>
                  <w:tcW w:w="605" w:type="pct"/>
                </w:tcPr>
                <w:p w14:paraId="1C3DE087" w14:textId="77777777" w:rsidR="00912D6B" w:rsidRPr="00DB06E2" w:rsidRDefault="00912D6B" w:rsidP="0074554D">
                  <w:pPr>
                    <w:pStyle w:val="RSCT03TableBody"/>
                    <w:framePr w:wrap="around" w:hAnchor="text" w:xAlign="inside" w:y="182"/>
                    <w:suppressOverlap/>
                    <w:rPr>
                      <w:lang w:val="en-US"/>
                    </w:rPr>
                  </w:pPr>
                </w:p>
              </w:tc>
            </w:tr>
            <w:tr w:rsidR="00912D6B" w:rsidRPr="00DB06E2" w14:paraId="4A332A98" w14:textId="77777777" w:rsidTr="00782362">
              <w:trPr>
                <w:trHeight w:val="312"/>
              </w:trPr>
              <w:tc>
                <w:tcPr>
                  <w:tcW w:w="862" w:type="pct"/>
                  <w:shd w:val="clear" w:color="auto" w:fill="auto"/>
                  <w:noWrap/>
                  <w:vAlign w:val="center"/>
                  <w:hideMark/>
                </w:tcPr>
                <w:p w14:paraId="55574ADE" w14:textId="77777777" w:rsidR="00912D6B" w:rsidRPr="00DB06E2" w:rsidRDefault="00912D6B" w:rsidP="0074554D">
                  <w:pPr>
                    <w:pStyle w:val="RSCT03TableBody"/>
                    <w:framePr w:wrap="around" w:hAnchor="text" w:xAlign="inside" w:y="182"/>
                    <w:suppressOverlap/>
                    <w:rPr>
                      <w:lang w:val="en-US"/>
                    </w:rPr>
                  </w:pPr>
                  <w:r w:rsidRPr="00DB06E2">
                    <w:rPr>
                      <w:lang w:val="en-US"/>
                    </w:rPr>
                    <w:t>[C₁₀C₁₀IM][Ac]</w:t>
                  </w:r>
                </w:p>
              </w:tc>
              <w:tc>
                <w:tcPr>
                  <w:tcW w:w="707" w:type="pct"/>
                  <w:shd w:val="clear" w:color="auto" w:fill="auto"/>
                  <w:noWrap/>
                  <w:vAlign w:val="center"/>
                  <w:hideMark/>
                </w:tcPr>
                <w:p w14:paraId="10DFF6E6" w14:textId="77777777" w:rsidR="00912D6B" w:rsidRPr="00DB06E2" w:rsidRDefault="00912D6B" w:rsidP="0074554D">
                  <w:pPr>
                    <w:pStyle w:val="RSCT03TableBody"/>
                    <w:framePr w:wrap="around" w:hAnchor="text" w:xAlign="inside" w:y="182"/>
                    <w:suppressOverlap/>
                    <w:rPr>
                      <w:lang w:val="en-US"/>
                    </w:rPr>
                  </w:pPr>
                  <w:r w:rsidRPr="00DB06E2">
                    <w:rPr>
                      <w:lang w:val="en-US"/>
                    </w:rPr>
                    <w:t>60-56 (1-2)</w:t>
                  </w:r>
                </w:p>
              </w:tc>
              <w:tc>
                <w:tcPr>
                  <w:tcW w:w="707" w:type="pct"/>
                  <w:shd w:val="clear" w:color="auto" w:fill="auto"/>
                  <w:noWrap/>
                  <w:vAlign w:val="center"/>
                  <w:hideMark/>
                </w:tcPr>
                <w:p w14:paraId="7B0F9DA2" w14:textId="77777777" w:rsidR="00912D6B" w:rsidRPr="00DB06E2" w:rsidRDefault="00912D6B" w:rsidP="0074554D">
                  <w:pPr>
                    <w:pStyle w:val="RSCT03TableBody"/>
                    <w:framePr w:wrap="around" w:hAnchor="text" w:xAlign="inside" w:y="182"/>
                    <w:suppressOverlap/>
                    <w:rPr>
                      <w:lang w:val="en-US"/>
                    </w:rPr>
                  </w:pPr>
                  <w:r>
                    <w:rPr>
                      <w:lang w:val="en-US"/>
                    </w:rPr>
                    <w:t>47-45 (9),</w:t>
                  </w:r>
                  <w:r>
                    <w:rPr>
                      <w:lang w:val="en-US"/>
                    </w:rPr>
                    <w:br/>
                  </w:r>
                  <w:r w:rsidRPr="00DB06E2">
                    <w:rPr>
                      <w:lang w:val="en-US"/>
                    </w:rPr>
                    <w:t>40-30 (13)</w:t>
                  </w:r>
                </w:p>
              </w:tc>
              <w:tc>
                <w:tcPr>
                  <w:tcW w:w="1514" w:type="pct"/>
                  <w:shd w:val="clear" w:color="auto" w:fill="auto"/>
                  <w:noWrap/>
                  <w:vAlign w:val="center"/>
                  <w:hideMark/>
                </w:tcPr>
                <w:p w14:paraId="211F4604" w14:textId="77777777" w:rsidR="00912D6B" w:rsidRPr="00DB06E2" w:rsidRDefault="00912D6B" w:rsidP="0074554D">
                  <w:pPr>
                    <w:pStyle w:val="RSCT03TableBody"/>
                    <w:framePr w:wrap="around" w:hAnchor="text" w:xAlign="inside" w:y="182"/>
                    <w:suppressOverlap/>
                    <w:rPr>
                      <w:lang w:val="en-US"/>
                    </w:rPr>
                  </w:pPr>
                  <w:r w:rsidRPr="00DB06E2">
                    <w:rPr>
                      <w:lang w:val="en-US"/>
                    </w:rPr>
                    <w:t>Readily dissol</w:t>
                  </w:r>
                  <w:r>
                    <w:rPr>
                      <w:lang w:val="en-US"/>
                    </w:rPr>
                    <w:t>ved,</w:t>
                  </w:r>
                  <w:r>
                    <w:rPr>
                      <w:lang w:val="en-US"/>
                    </w:rPr>
                    <w:br/>
                    <w:t>P</w:t>
                  </w:r>
                  <w:r w:rsidRPr="00DB06E2">
                    <w:rPr>
                      <w:lang w:val="en-US"/>
                    </w:rPr>
                    <w:t>ale yellow solution</w:t>
                  </w:r>
                  <w:r>
                    <w:rPr>
                      <w:lang w:val="en-US"/>
                    </w:rPr>
                    <w:t>,</w:t>
                  </w:r>
                  <w:r>
                    <w:rPr>
                      <w:lang w:val="en-US"/>
                    </w:rPr>
                    <w:br/>
                  </w:r>
                  <w:r w:rsidRPr="00DB06E2">
                    <w:rPr>
                      <w:lang w:val="en-US"/>
                    </w:rPr>
                    <w:t>Stable dense foam.</w:t>
                  </w:r>
                </w:p>
              </w:tc>
              <w:tc>
                <w:tcPr>
                  <w:tcW w:w="605" w:type="pct"/>
                  <w:shd w:val="clear" w:color="auto" w:fill="auto"/>
                  <w:noWrap/>
                  <w:vAlign w:val="center"/>
                  <w:hideMark/>
                </w:tcPr>
                <w:p w14:paraId="47CDCC2A" w14:textId="77777777" w:rsidR="00912D6B" w:rsidRPr="00DB06E2" w:rsidRDefault="00912D6B" w:rsidP="0074554D">
                  <w:pPr>
                    <w:pStyle w:val="RSCT03TableBody"/>
                    <w:framePr w:wrap="around" w:hAnchor="text" w:xAlign="inside" w:y="182"/>
                    <w:suppressOverlap/>
                    <w:rPr>
                      <w:lang w:val="en-US"/>
                    </w:rPr>
                  </w:pPr>
                  <w:r w:rsidRPr="00DB06E2">
                    <w:rPr>
                      <w:lang w:val="en-US"/>
                    </w:rPr>
                    <w:t>S, M, L</w:t>
                  </w:r>
                </w:p>
              </w:tc>
              <w:tc>
                <w:tcPr>
                  <w:tcW w:w="605" w:type="pct"/>
                </w:tcPr>
                <w:p w14:paraId="3D1E3063" w14:textId="77777777" w:rsidR="00912D6B" w:rsidRPr="00DB06E2" w:rsidRDefault="00912D6B" w:rsidP="0074554D">
                  <w:pPr>
                    <w:pStyle w:val="RSCT03TableBody"/>
                    <w:framePr w:wrap="around" w:hAnchor="text" w:xAlign="inside" w:y="182"/>
                    <w:suppressOverlap/>
                    <w:rPr>
                      <w:lang w:val="en-US"/>
                    </w:rPr>
                  </w:pPr>
                </w:p>
              </w:tc>
            </w:tr>
            <w:tr w:rsidR="00912D6B" w:rsidRPr="00DB06E2" w14:paraId="430A0A1F" w14:textId="77777777" w:rsidTr="00782362">
              <w:trPr>
                <w:trHeight w:val="312"/>
              </w:trPr>
              <w:tc>
                <w:tcPr>
                  <w:tcW w:w="862" w:type="pct"/>
                  <w:shd w:val="clear" w:color="auto" w:fill="auto"/>
                  <w:noWrap/>
                  <w:vAlign w:val="center"/>
                  <w:hideMark/>
                </w:tcPr>
                <w:p w14:paraId="27F5E0E3" w14:textId="77777777" w:rsidR="00912D6B" w:rsidRPr="00DB06E2" w:rsidRDefault="00912D6B" w:rsidP="0074554D">
                  <w:pPr>
                    <w:pStyle w:val="RSCT03TableBody"/>
                    <w:framePr w:wrap="around" w:hAnchor="text" w:xAlign="inside" w:y="182"/>
                    <w:suppressOverlap/>
                    <w:rPr>
                      <w:lang w:val="en-US"/>
                    </w:rPr>
                  </w:pPr>
                  <w:r w:rsidRPr="00DB06E2">
                    <w:rPr>
                      <w:lang w:val="en-US"/>
                    </w:rPr>
                    <w:t>[C₁₂C₁₂IM][Ac]</w:t>
                  </w:r>
                </w:p>
              </w:tc>
              <w:tc>
                <w:tcPr>
                  <w:tcW w:w="707" w:type="pct"/>
                  <w:shd w:val="clear" w:color="auto" w:fill="auto"/>
                  <w:noWrap/>
                  <w:vAlign w:val="center"/>
                  <w:hideMark/>
                </w:tcPr>
                <w:p w14:paraId="1EC12BE0" w14:textId="77777777" w:rsidR="00912D6B" w:rsidRPr="00DB06E2" w:rsidRDefault="00912D6B" w:rsidP="0074554D">
                  <w:pPr>
                    <w:pStyle w:val="RSCT03TableBody"/>
                    <w:framePr w:wrap="around" w:hAnchor="text" w:xAlign="inside" w:y="182"/>
                    <w:suppressOverlap/>
                    <w:rPr>
                      <w:lang w:val="en-US"/>
                    </w:rPr>
                  </w:pPr>
                  <w:r w:rsidRPr="00DB06E2">
                    <w:rPr>
                      <w:lang w:val="en-US"/>
                    </w:rPr>
                    <w:t>27-24 (1-2)</w:t>
                  </w:r>
                </w:p>
              </w:tc>
              <w:tc>
                <w:tcPr>
                  <w:tcW w:w="707" w:type="pct"/>
                  <w:shd w:val="clear" w:color="auto" w:fill="auto"/>
                  <w:noWrap/>
                  <w:vAlign w:val="center"/>
                  <w:hideMark/>
                </w:tcPr>
                <w:p w14:paraId="73BCE7D2" w14:textId="77777777" w:rsidR="00912D6B" w:rsidRPr="00DB06E2" w:rsidRDefault="00912D6B" w:rsidP="0074554D">
                  <w:pPr>
                    <w:pStyle w:val="RSCT03TableBody"/>
                    <w:framePr w:wrap="around" w:hAnchor="text" w:xAlign="inside" w:y="182"/>
                    <w:suppressOverlap/>
                    <w:rPr>
                      <w:lang w:val="en-US"/>
                    </w:rPr>
                  </w:pPr>
                  <w:r w:rsidRPr="00DB06E2">
                    <w:rPr>
                      <w:lang w:val="en-US"/>
                    </w:rPr>
                    <w:t>27-25 (8),</w:t>
                  </w:r>
                  <w:r>
                    <w:rPr>
                      <w:lang w:val="en-US"/>
                    </w:rPr>
                    <w:br/>
                  </w:r>
                  <w:r w:rsidRPr="00DB06E2">
                    <w:rPr>
                      <w:lang w:val="en-US"/>
                    </w:rPr>
                    <w:t>27-24 (13)</w:t>
                  </w:r>
                </w:p>
              </w:tc>
              <w:tc>
                <w:tcPr>
                  <w:tcW w:w="1514" w:type="pct"/>
                  <w:shd w:val="clear" w:color="auto" w:fill="auto"/>
                  <w:noWrap/>
                  <w:vAlign w:val="center"/>
                  <w:hideMark/>
                </w:tcPr>
                <w:p w14:paraId="31164D04" w14:textId="77777777" w:rsidR="00912D6B" w:rsidRPr="00DB06E2" w:rsidRDefault="00912D6B" w:rsidP="0074554D">
                  <w:pPr>
                    <w:pStyle w:val="RSCT03TableBody"/>
                    <w:framePr w:wrap="around" w:hAnchor="text" w:xAlign="inside" w:y="182"/>
                    <w:suppressOverlap/>
                    <w:rPr>
                      <w:lang w:val="en-US"/>
                    </w:rPr>
                  </w:pPr>
                  <w:r w:rsidRPr="00DB06E2">
                    <w:rPr>
                      <w:lang w:val="en-US"/>
                    </w:rPr>
                    <w:t>Slowly dissolved</w:t>
                  </w:r>
                  <w:r>
                    <w:rPr>
                      <w:lang w:val="en-US"/>
                    </w:rPr>
                    <w:t>,</w:t>
                  </w:r>
                  <w:r>
                    <w:rPr>
                      <w:lang w:val="en-US"/>
                    </w:rPr>
                    <w:br/>
                    <w:t>Yellow solution,</w:t>
                  </w:r>
                  <w:r>
                    <w:rPr>
                      <w:lang w:val="en-US"/>
                    </w:rPr>
                    <w:br/>
                    <w:t>Highly s</w:t>
                  </w:r>
                  <w:r w:rsidRPr="00DB06E2">
                    <w:rPr>
                      <w:lang w:val="en-US"/>
                    </w:rPr>
                    <w:t>table dense foam</w:t>
                  </w:r>
                </w:p>
              </w:tc>
              <w:tc>
                <w:tcPr>
                  <w:tcW w:w="605" w:type="pct"/>
                  <w:shd w:val="clear" w:color="auto" w:fill="auto"/>
                  <w:noWrap/>
                  <w:vAlign w:val="center"/>
                  <w:hideMark/>
                </w:tcPr>
                <w:p w14:paraId="3F955151" w14:textId="77777777" w:rsidR="00912D6B" w:rsidRPr="00DB06E2" w:rsidRDefault="00912D6B" w:rsidP="0074554D">
                  <w:pPr>
                    <w:pStyle w:val="RSCT03TableBody"/>
                    <w:framePr w:wrap="around" w:hAnchor="text" w:xAlign="inside" w:y="182"/>
                    <w:suppressOverlap/>
                    <w:rPr>
                      <w:lang w:val="en-US"/>
                    </w:rPr>
                  </w:pPr>
                  <w:r w:rsidRPr="00DB06E2">
                    <w:rPr>
                      <w:lang w:val="en-US"/>
                    </w:rPr>
                    <w:t>S</w:t>
                  </w:r>
                </w:p>
              </w:tc>
              <w:tc>
                <w:tcPr>
                  <w:tcW w:w="605" w:type="pct"/>
                </w:tcPr>
                <w:p w14:paraId="5E5D7979" w14:textId="77777777" w:rsidR="00912D6B" w:rsidRPr="00DB06E2" w:rsidRDefault="00912D6B" w:rsidP="0074554D">
                  <w:pPr>
                    <w:pStyle w:val="RSCT03TableBody"/>
                    <w:framePr w:wrap="around" w:hAnchor="text" w:xAlign="inside" w:y="182"/>
                    <w:suppressOverlap/>
                    <w:rPr>
                      <w:lang w:val="en-US"/>
                    </w:rPr>
                  </w:pPr>
                </w:p>
              </w:tc>
            </w:tr>
            <w:tr w:rsidR="00912D6B" w:rsidRPr="00DB06E2" w14:paraId="1E630985" w14:textId="77777777" w:rsidTr="00782362">
              <w:trPr>
                <w:trHeight w:val="312"/>
              </w:trPr>
              <w:tc>
                <w:tcPr>
                  <w:tcW w:w="862" w:type="pct"/>
                  <w:shd w:val="clear" w:color="auto" w:fill="auto"/>
                  <w:noWrap/>
                  <w:vAlign w:val="center"/>
                  <w:hideMark/>
                </w:tcPr>
                <w:p w14:paraId="73332811" w14:textId="77777777" w:rsidR="00912D6B" w:rsidRPr="00DB06E2" w:rsidRDefault="00912D6B" w:rsidP="0074554D">
                  <w:pPr>
                    <w:pStyle w:val="RSCT03TableBody"/>
                    <w:framePr w:wrap="around" w:hAnchor="text" w:xAlign="inside" w:y="182"/>
                    <w:suppressOverlap/>
                    <w:rPr>
                      <w:lang w:val="en-US"/>
                    </w:rPr>
                  </w:pPr>
                  <w:r w:rsidRPr="00DB06E2">
                    <w:rPr>
                      <w:lang w:val="en-US"/>
                    </w:rPr>
                    <w:t>[C₁₄C₁₄IM][Ac]</w:t>
                  </w:r>
                </w:p>
              </w:tc>
              <w:tc>
                <w:tcPr>
                  <w:tcW w:w="707" w:type="pct"/>
                  <w:shd w:val="clear" w:color="auto" w:fill="auto"/>
                  <w:noWrap/>
                  <w:vAlign w:val="center"/>
                  <w:hideMark/>
                </w:tcPr>
                <w:p w14:paraId="0C950818" w14:textId="77777777" w:rsidR="00912D6B" w:rsidRPr="00DB06E2" w:rsidRDefault="00912D6B" w:rsidP="0074554D">
                  <w:pPr>
                    <w:pStyle w:val="RSCT03TableBody"/>
                    <w:framePr w:wrap="around" w:hAnchor="text" w:xAlign="inside" w:y="182"/>
                    <w:suppressOverlap/>
                    <w:rPr>
                      <w:lang w:val="en-US"/>
                    </w:rPr>
                  </w:pPr>
                  <w:r w:rsidRPr="00DB06E2">
                    <w:rPr>
                      <w:lang w:val="en-US"/>
                    </w:rPr>
                    <w:t>4-4 (1)</w:t>
                  </w:r>
                </w:p>
              </w:tc>
              <w:tc>
                <w:tcPr>
                  <w:tcW w:w="707" w:type="pct"/>
                  <w:shd w:val="clear" w:color="auto" w:fill="auto"/>
                  <w:noWrap/>
                  <w:vAlign w:val="center"/>
                  <w:hideMark/>
                </w:tcPr>
                <w:p w14:paraId="4C643432" w14:textId="77777777" w:rsidR="00912D6B" w:rsidRPr="00DB06E2" w:rsidRDefault="00912D6B" w:rsidP="0074554D">
                  <w:pPr>
                    <w:pStyle w:val="RSCT03TableBody"/>
                    <w:framePr w:wrap="around" w:hAnchor="text" w:xAlign="inside" w:y="182"/>
                    <w:suppressOverlap/>
                    <w:rPr>
                      <w:lang w:val="en-US"/>
                    </w:rPr>
                  </w:pPr>
                  <w:r w:rsidRPr="00DB06E2">
                    <w:rPr>
                      <w:lang w:val="en-US"/>
                    </w:rPr>
                    <w:t>4-4 (8)</w:t>
                  </w:r>
                  <w:r>
                    <w:rPr>
                      <w:lang w:val="en-US"/>
                    </w:rPr>
                    <w:br/>
                  </w:r>
                  <w:r w:rsidRPr="00DB06E2">
                    <w:rPr>
                      <w:lang w:val="en-US"/>
                    </w:rPr>
                    <w:t>4-4 (13)</w:t>
                  </w:r>
                </w:p>
              </w:tc>
              <w:tc>
                <w:tcPr>
                  <w:tcW w:w="1514" w:type="pct"/>
                  <w:shd w:val="clear" w:color="auto" w:fill="auto"/>
                  <w:noWrap/>
                  <w:vAlign w:val="center"/>
                  <w:hideMark/>
                </w:tcPr>
                <w:p w14:paraId="3B3333D6" w14:textId="77777777" w:rsidR="00912D6B" w:rsidRPr="00DB06E2" w:rsidRDefault="00912D6B" w:rsidP="0074554D">
                  <w:pPr>
                    <w:pStyle w:val="RSCT03TableBody"/>
                    <w:framePr w:wrap="around" w:hAnchor="text" w:xAlign="inside" w:y="182"/>
                    <w:suppressOverlap/>
                    <w:rPr>
                      <w:lang w:val="en-US"/>
                    </w:rPr>
                  </w:pPr>
                  <w:r>
                    <w:rPr>
                      <w:lang w:val="en-US"/>
                    </w:rPr>
                    <w:t>Partially</w:t>
                  </w:r>
                  <w:r w:rsidRPr="00DB06E2">
                    <w:rPr>
                      <w:lang w:val="en-US"/>
                    </w:rPr>
                    <w:t xml:space="preserve"> dissolved</w:t>
                  </w:r>
                  <w:r>
                    <w:rPr>
                      <w:lang w:val="en-US"/>
                    </w:rPr>
                    <w:t>,</w:t>
                  </w:r>
                  <w:r>
                    <w:rPr>
                      <w:lang w:val="en-US"/>
                    </w:rPr>
                    <w:br/>
                    <w:t>S</w:t>
                  </w:r>
                  <w:r w:rsidRPr="00DB06E2">
                    <w:rPr>
                      <w:lang w:val="en-US"/>
                    </w:rPr>
                    <w:t>parse foam</w:t>
                  </w:r>
                  <w:r>
                    <w:rPr>
                      <w:lang w:val="en-US"/>
                    </w:rPr>
                    <w:t xml:space="preserve"> with particulate</w:t>
                  </w:r>
                </w:p>
              </w:tc>
              <w:tc>
                <w:tcPr>
                  <w:tcW w:w="605" w:type="pct"/>
                  <w:shd w:val="clear" w:color="auto" w:fill="auto"/>
                  <w:noWrap/>
                  <w:vAlign w:val="center"/>
                  <w:hideMark/>
                </w:tcPr>
                <w:p w14:paraId="36587222" w14:textId="77777777" w:rsidR="00912D6B" w:rsidRPr="00DB06E2" w:rsidRDefault="00912D6B" w:rsidP="0074554D">
                  <w:pPr>
                    <w:pStyle w:val="RSCT03TableBody"/>
                    <w:framePr w:wrap="around" w:hAnchor="text" w:xAlign="inside" w:y="182"/>
                    <w:suppressOverlap/>
                    <w:rPr>
                      <w:lang w:val="en-US"/>
                    </w:rPr>
                  </w:pPr>
                  <w:r w:rsidRPr="00DB06E2">
                    <w:rPr>
                      <w:lang w:val="en-US"/>
                    </w:rPr>
                    <w:t>S</w:t>
                  </w:r>
                </w:p>
              </w:tc>
              <w:tc>
                <w:tcPr>
                  <w:tcW w:w="605" w:type="pct"/>
                </w:tcPr>
                <w:p w14:paraId="7A1F5093" w14:textId="77777777" w:rsidR="00912D6B" w:rsidRPr="00DB06E2" w:rsidRDefault="00912D6B" w:rsidP="0074554D">
                  <w:pPr>
                    <w:pStyle w:val="RSCT03TableBody"/>
                    <w:framePr w:wrap="around" w:hAnchor="text" w:xAlign="inside" w:y="182"/>
                    <w:suppressOverlap/>
                    <w:rPr>
                      <w:lang w:val="en-US"/>
                    </w:rPr>
                  </w:pPr>
                </w:p>
              </w:tc>
            </w:tr>
          </w:tbl>
          <w:p w14:paraId="5870FF5E" w14:textId="77777777" w:rsidR="00912D6B" w:rsidRDefault="00912D6B" w:rsidP="00912D6B">
            <w:pPr>
              <w:pStyle w:val="RSCB02ArticleText"/>
            </w:pPr>
          </w:p>
        </w:tc>
      </w:tr>
      <w:tr w:rsidR="00912D6B" w14:paraId="3BC81813" w14:textId="77777777" w:rsidTr="00912D6B">
        <w:tc>
          <w:tcPr>
            <w:tcW w:w="4979" w:type="dxa"/>
          </w:tcPr>
          <w:p w14:paraId="138A4D67" w14:textId="77777777" w:rsidR="00912D6B" w:rsidRDefault="00912D6B" w:rsidP="00912D6B">
            <w:pPr>
              <w:pStyle w:val="RSCT04TableFootnotewithbottombar"/>
            </w:pPr>
            <w:r>
              <w:t xml:space="preserve">Foamability and foam stability were determined via the use of a 100 mL measuring cylinder (vide ESI </w:t>
            </w:r>
            <w:r w:rsidRPr="00D865C7">
              <w:t>Analytical procedure 3</w:t>
            </w:r>
            <w:r>
              <w:t>). The foam height immediately after shaking and after a minute are herein reported side by side.</w:t>
            </w:r>
            <w:r w:rsidRPr="00BF6EB8">
              <w:t xml:space="preserve"> pH adjustment </w:t>
            </w:r>
            <w:r>
              <w:t xml:space="preserve">was done via addition of </w:t>
            </w:r>
            <w:r w:rsidRPr="00BF6EB8">
              <w:t>5</w:t>
            </w:r>
            <w:r>
              <w:t xml:space="preserve"> to </w:t>
            </w:r>
            <w:r w:rsidRPr="00BF6EB8">
              <w:t xml:space="preserve">10 drops of </w:t>
            </w:r>
            <w:r>
              <w:t xml:space="preserve">either </w:t>
            </w:r>
            <w:r w:rsidRPr="00BF6EB8">
              <w:t>NaOH</w:t>
            </w:r>
            <w:r>
              <w:t xml:space="preserve"> (</w:t>
            </w:r>
            <w:r w:rsidRPr="00BF6EB8">
              <w:t>1 M</w:t>
            </w:r>
            <w:r>
              <w:t>)</w:t>
            </w:r>
            <w:r w:rsidRPr="00BF6EB8">
              <w:t xml:space="preserve"> or HCl</w:t>
            </w:r>
            <w:r>
              <w:t xml:space="preserve"> (</w:t>
            </w:r>
            <w:r w:rsidRPr="00BF6EB8">
              <w:t>1 M</w:t>
            </w:r>
            <w:r>
              <w:t>)</w:t>
            </w:r>
            <w:r w:rsidRPr="00BF6EB8">
              <w:t xml:space="preserve">. </w:t>
            </w:r>
            <w:r>
              <w:t>Sodium dodecyl sulfate (SDS) was used as reference compound. Bubble size is registered as small (S), medium (M), and large (L). The test was carried out on 40 mL aqueous solutions with 0.1% w/w of the tested surfactant dissolved within it.</w:t>
            </w:r>
          </w:p>
        </w:tc>
      </w:tr>
    </w:tbl>
    <w:p w14:paraId="5E94EA85" w14:textId="52EE2EF6" w:rsidR="009B29B9" w:rsidRDefault="00235D91" w:rsidP="000B50FA">
      <w:pPr>
        <w:pStyle w:val="RSCB02ArticleText"/>
      </w:pPr>
      <w:r>
        <w:t>1,3-Di(h</w:t>
      </w:r>
      <w:r w:rsidR="007D782F">
        <w:t>exadecyl)</w:t>
      </w:r>
      <w:r w:rsidR="00CD366A">
        <w:t>im</w:t>
      </w:r>
      <w:r w:rsidR="00AC5BBA">
        <w:t>idazolium acetate did not foam</w:t>
      </w:r>
      <w:r w:rsidR="00CD366A">
        <w:t xml:space="preserve"> in water but under </w:t>
      </w:r>
      <w:r w:rsidR="008318AE">
        <w:t>vigorous</w:t>
      </w:r>
      <w:r w:rsidR="00CD366A">
        <w:t xml:space="preserve"> mixing </w:t>
      </w:r>
      <w:r w:rsidR="008C5385">
        <w:t>formed</w:t>
      </w:r>
      <w:r w:rsidR="00C82AA2">
        <w:t xml:space="preserve"> a gel</w:t>
      </w:r>
      <w:r w:rsidR="008C5385">
        <w:t xml:space="preserve"> phase</w:t>
      </w:r>
      <w:r w:rsidR="00C82AA2">
        <w:t>.</w:t>
      </w:r>
      <w:r w:rsidR="006D2247">
        <w:t xml:space="preserve"> Various concentration</w:t>
      </w:r>
      <w:r w:rsidR="00AC5BBA">
        <w:t>s</w:t>
      </w:r>
      <w:r w:rsidR="006D2247">
        <w:t xml:space="preserve"> were tested to determine the minimal amount of imidazolium salt needed to have the formation of a gel phase (i.e. 5, 10, 20, 40, 60, 80, and 100 mg mL</w:t>
      </w:r>
      <w:r w:rsidR="006D2247" w:rsidRPr="006D2247">
        <w:t>¯¹</w:t>
      </w:r>
      <w:r w:rsidR="006D2247">
        <w:t xml:space="preserve">). The samples were </w:t>
      </w:r>
      <w:r w:rsidR="00857600">
        <w:t xml:space="preserve">homogenised </w:t>
      </w:r>
      <w:r w:rsidR="006D2247">
        <w:t xml:space="preserve">via shaking at 2000 rpm for 2 h </w:t>
      </w:r>
      <w:r w:rsidR="008C5385">
        <w:t>at a</w:t>
      </w:r>
      <w:r w:rsidR="006D2247">
        <w:t xml:space="preserve"> temperature of 75 </w:t>
      </w:r>
      <w:r w:rsidR="006D2247">
        <w:rPr>
          <w:rFonts w:cstheme="minorHAnsi"/>
        </w:rPr>
        <w:t>°</w:t>
      </w:r>
      <w:r w:rsidR="006D2247">
        <w:t>C</w:t>
      </w:r>
      <w:r w:rsidR="008C5385">
        <w:t>,</w:t>
      </w:r>
      <w:r w:rsidR="006D2247">
        <w:t xml:space="preserve"> then </w:t>
      </w:r>
      <w:r w:rsidR="00857600">
        <w:t xml:space="preserve">they were </w:t>
      </w:r>
      <w:r w:rsidR="00AC5BBA">
        <w:t>allowed</w:t>
      </w:r>
      <w:r w:rsidR="006D2247">
        <w:t xml:space="preserve"> to gently cool </w:t>
      </w:r>
      <w:r w:rsidR="00AC5BBA">
        <w:rPr>
          <w:lang w:val="en-US"/>
        </w:rPr>
        <w:t>to</w:t>
      </w:r>
      <w:r w:rsidR="00857600">
        <w:rPr>
          <w:lang w:val="en-US"/>
        </w:rPr>
        <w:t xml:space="preserve"> room temperature (22 </w:t>
      </w:r>
      <w:r w:rsidR="00857600">
        <w:rPr>
          <w:rFonts w:cstheme="minorHAnsi"/>
          <w:lang w:val="en-US"/>
        </w:rPr>
        <w:t>°</w:t>
      </w:r>
      <w:r w:rsidR="00857600">
        <w:rPr>
          <w:lang w:val="en-US"/>
        </w:rPr>
        <w:t xml:space="preserve">C). </w:t>
      </w:r>
      <w:r w:rsidR="00857600">
        <w:t xml:space="preserve">Gelation was </w:t>
      </w:r>
      <w:r w:rsidR="006D2247">
        <w:t xml:space="preserve">tested by turning the sample upside down, in order to observe which was the minimal concentration needed to obtain a firm gel phase. </w:t>
      </w:r>
      <w:r w:rsidR="0029575B">
        <w:t>T</w:t>
      </w:r>
      <w:r w:rsidR="006D2247">
        <w:t>he minimal concentration needed to avoid the collapse of the colloid</w:t>
      </w:r>
      <w:r w:rsidR="00857600">
        <w:t>al phase</w:t>
      </w:r>
      <w:r w:rsidR="006D2247">
        <w:t xml:space="preserve"> by turning the vial </w:t>
      </w:r>
      <w:r w:rsidR="009D19F6" w:rsidRPr="00BB2216">
        <w:t>upside</w:t>
      </w:r>
      <w:r w:rsidR="009D19F6">
        <w:t xml:space="preserve">-down </w:t>
      </w:r>
      <w:r w:rsidR="0029575B">
        <w:t>was assessed at 100 mg mL</w:t>
      </w:r>
      <w:r w:rsidR="0029575B" w:rsidRPr="006D2247">
        <w:t>¯¹</w:t>
      </w:r>
      <w:r w:rsidR="006D2247">
        <w:t>.</w:t>
      </w:r>
    </w:p>
    <w:p w14:paraId="57C1FF53" w14:textId="105E3ADF" w:rsidR="004C4A86" w:rsidRDefault="001652C6" w:rsidP="004C4A86">
      <w:pPr>
        <w:pStyle w:val="RSCB07BHeadingSub-Section-standalone"/>
        <w:rPr>
          <w:noProof/>
        </w:rPr>
      </w:pPr>
      <w:r>
        <w:rPr>
          <w:noProof/>
        </w:rPr>
        <w:t>O</w:t>
      </w:r>
      <w:r w:rsidR="004C4A86">
        <w:rPr>
          <w:noProof/>
        </w:rPr>
        <w:t xml:space="preserve">xalate </w:t>
      </w:r>
      <w:r w:rsidR="00B94D23">
        <w:rPr>
          <w:noProof/>
        </w:rPr>
        <w:t>precipitation</w:t>
      </w:r>
      <w:r>
        <w:rPr>
          <w:noProof/>
        </w:rPr>
        <w:t xml:space="preserve"> metathesis</w:t>
      </w:r>
    </w:p>
    <w:p w14:paraId="1EA94282" w14:textId="5A9E4C79" w:rsidR="000F2F70" w:rsidRDefault="00D41AFF" w:rsidP="000B50FA">
      <w:pPr>
        <w:pStyle w:val="RSCB02ArticleText"/>
      </w:pPr>
      <w:r>
        <w:t xml:space="preserve">Oxalate salts </w:t>
      </w:r>
      <w:r w:rsidR="003F4783">
        <w:t>are</w:t>
      </w:r>
      <w:r>
        <w:t xml:space="preserve"> an extremely </w:t>
      </w:r>
      <w:r w:rsidR="00B5085F">
        <w:t>expedient</w:t>
      </w:r>
      <w:r>
        <w:t xml:space="preserve"> category of salts because of the </w:t>
      </w:r>
      <w:r w:rsidR="00CE345B">
        <w:t xml:space="preserve">very low </w:t>
      </w:r>
      <w:r>
        <w:t>solubility of calcium oxalate in aqueous solutions</w:t>
      </w:r>
      <w:r w:rsidR="006B6AE9">
        <w:t xml:space="preserve"> </w:t>
      </w:r>
      <w:r>
        <w:t>(</w:t>
      </w:r>
      <w:r w:rsidR="00935334">
        <w:t>0.0</w:t>
      </w:r>
      <w:r w:rsidRPr="00D41AFF">
        <w:t>61 g</w:t>
      </w:r>
      <w:r w:rsidR="00935334">
        <w:t xml:space="preserve"> </w:t>
      </w:r>
      <w:r w:rsidRPr="00D41AFF">
        <w:t>L</w:t>
      </w:r>
      <w:r w:rsidR="004A572D" w:rsidRPr="004A572D">
        <w:t>¯¹</w:t>
      </w:r>
      <w:r w:rsidRPr="00D41AFF">
        <w:t>)</w:t>
      </w:r>
      <w:r w:rsidR="00256812">
        <w:t>.</w:t>
      </w:r>
      <w:r w:rsidR="00AB19EC">
        <w:rPr>
          <w:rStyle w:val="FootnoteReference"/>
        </w:rPr>
        <w:fldChar w:fldCharType="begin" w:fldLock="1"/>
      </w:r>
      <w:r w:rsidR="00AB19EC">
        <w:instrText>ADDIN CSL_CITATION {"citationItems":[{"id":"ITEM-1","itemData":{"DOI":"10.1021/ja041017a","ISBN":"9781482208689","ISSN":"0002-7863","PMID":"12006166","abstract":"p 6-174 (pas op 2 pagina's met deze nr Lide, D. R. CRC Handbook of Chemistry and Physics, Internet Version 2005; CRC Press, 2005. David R. Lide, ed., CRC Handbook of Chemistry and Physics, Internet Version 2005, &lt;http://www.hbcpnetbase.com&gt;, CRC Press, Boca Raton, FL, 2005.","author":[{"dropping-particle":"","family":"Lide","given":"David R.","non-dropping-particle":"","parse-names":false,"suffix":""}],"container-title":"CRC Handbook of Chemistry and Physics","editor":[{"dropping-particle":"","family":"Lide","given":"David R.","non-dropping-particle":"","parse-names":false,"suffix":""}],"id":"ITEM-1","issued":{"date-parts":[["2005"]]},"number-of-pages":"2313-2314","publisher":"CRC Press","publisher-place":"Boca Raton, FL","title":"CRC Handbook of Chemistry and Physics","type":"book"},"uris":["http://www.mendeley.com/documents/?uuid=e56bb41f-45b4-468d-bc3d-d5da46a21bcd"]}],"mendeley":{"formattedCitation":"&lt;sup&gt;45&lt;/sup&gt;","plainTextFormattedCitation":"45","previouslyFormattedCitation":"&lt;sup&gt;45&lt;/sup&gt;"},"properties":{"noteIndex":0},"schema":"https://github.com/citation-style-language/schema/raw/master/csl-citation.json"}</w:instrText>
      </w:r>
      <w:r w:rsidR="00AB19EC">
        <w:rPr>
          <w:rStyle w:val="FootnoteReference"/>
        </w:rPr>
        <w:fldChar w:fldCharType="separate"/>
      </w:r>
      <w:r w:rsidR="00AB19EC" w:rsidRPr="00AB19EC">
        <w:rPr>
          <w:noProof/>
          <w:vertAlign w:val="superscript"/>
        </w:rPr>
        <w:t>45</w:t>
      </w:r>
      <w:r w:rsidR="00AB19EC">
        <w:rPr>
          <w:rStyle w:val="FootnoteReference"/>
        </w:rPr>
        <w:fldChar w:fldCharType="end"/>
      </w:r>
      <w:r w:rsidR="00AB19EC">
        <w:t xml:space="preserve"> </w:t>
      </w:r>
      <w:r w:rsidR="00256812">
        <w:t xml:space="preserve">This makes imidazolium </w:t>
      </w:r>
      <w:r w:rsidR="00B70453">
        <w:t>hydro</w:t>
      </w:r>
      <w:r w:rsidR="00256812">
        <w:t xml:space="preserve">xalate salts </w:t>
      </w:r>
      <w:r w:rsidR="008318E7">
        <w:t xml:space="preserve">expedient </w:t>
      </w:r>
      <w:r w:rsidR="00CE345B">
        <w:t xml:space="preserve">tools </w:t>
      </w:r>
      <w:r w:rsidR="00531B27">
        <w:t>for imidazolium salt metathesis</w:t>
      </w:r>
      <w:r>
        <w:t xml:space="preserve">. </w:t>
      </w:r>
      <w:r w:rsidR="00256812">
        <w:t xml:space="preserve">The </w:t>
      </w:r>
      <w:r w:rsidR="00381409">
        <w:t xml:space="preserve">salt precipitation </w:t>
      </w:r>
      <w:r w:rsidR="00256812">
        <w:t xml:space="preserve">metathesis </w:t>
      </w:r>
      <w:r w:rsidR="00727A92">
        <w:t>wa</w:t>
      </w:r>
      <w:r w:rsidR="00256812">
        <w:t xml:space="preserve">s </w:t>
      </w:r>
      <w:r w:rsidR="007479C9">
        <w:t>carried out via the use of</w:t>
      </w:r>
      <w:r w:rsidR="00256812">
        <w:t xml:space="preserve"> a metal salt</w:t>
      </w:r>
      <w:r w:rsidR="007479C9">
        <w:t>,</w:t>
      </w:r>
      <w:r w:rsidR="00256812">
        <w:t xml:space="preserve"> </w:t>
      </w:r>
      <w:r w:rsidR="007479C9">
        <w:t>embedding</w:t>
      </w:r>
      <w:r w:rsidR="00256812">
        <w:t xml:space="preserve"> the desired anion</w:t>
      </w:r>
      <w:r w:rsidR="00727A92">
        <w:t xml:space="preserve"> and</w:t>
      </w:r>
      <w:r w:rsidR="00256812">
        <w:t xml:space="preserve"> </w:t>
      </w:r>
      <w:r w:rsidR="00EF1358">
        <w:t>a metal</w:t>
      </w:r>
      <w:r w:rsidR="0029575B">
        <w:t xml:space="preserve"> cation, which is</w:t>
      </w:r>
      <w:r w:rsidR="00EF1358">
        <w:t xml:space="preserve"> </w:t>
      </w:r>
      <w:r w:rsidR="00CE345B">
        <w:t xml:space="preserve">highly </w:t>
      </w:r>
      <w:r w:rsidR="00256812">
        <w:t>insoluble</w:t>
      </w:r>
      <w:r w:rsidR="007479C9">
        <w:t xml:space="preserve"> as </w:t>
      </w:r>
      <w:r w:rsidR="00EF1358">
        <w:t>its</w:t>
      </w:r>
      <w:r w:rsidR="00727A92">
        <w:t xml:space="preserve"> </w:t>
      </w:r>
      <w:r w:rsidR="0029575B">
        <w:t xml:space="preserve">metal </w:t>
      </w:r>
      <w:r w:rsidR="007479C9">
        <w:t xml:space="preserve">oxalate </w:t>
      </w:r>
      <w:r w:rsidR="0029575B">
        <w:t xml:space="preserve">salt </w:t>
      </w:r>
      <w:r w:rsidR="00CB240F">
        <w:t>(</w:t>
      </w:r>
      <w:r w:rsidR="00C61A9E">
        <w:t xml:space="preserve">Scheme </w:t>
      </w:r>
      <w:r w:rsidR="00FF7BAC">
        <w:rPr>
          <w:noProof/>
        </w:rPr>
        <w:t>5</w:t>
      </w:r>
      <w:r w:rsidR="00CB240F">
        <w:t>)</w:t>
      </w:r>
      <w:r w:rsidR="00256812">
        <w:t xml:space="preserve">. Calcium </w:t>
      </w:r>
      <w:r w:rsidR="00256812">
        <w:t xml:space="preserve">salts are optimal because of the </w:t>
      </w:r>
      <w:r w:rsidR="00727A92">
        <w:t>low</w:t>
      </w:r>
      <w:r w:rsidR="00256812">
        <w:t xml:space="preserve"> costs and the low</w:t>
      </w:r>
      <w:r w:rsidR="00A14209">
        <w:t xml:space="preserve"> aqueous</w:t>
      </w:r>
      <w:r w:rsidR="00256812">
        <w:t xml:space="preserve"> solubility of calcium oxalate. </w:t>
      </w:r>
      <w:r>
        <w:t xml:space="preserve">This </w:t>
      </w:r>
      <w:r w:rsidR="0087101B">
        <w:t>would allow</w:t>
      </w:r>
      <w:r>
        <w:t xml:space="preserve"> for </w:t>
      </w:r>
      <w:r w:rsidR="004C4A86">
        <w:t xml:space="preserve">the production of imidazolium salts </w:t>
      </w:r>
      <w:r w:rsidR="00654085">
        <w:t>otherwise</w:t>
      </w:r>
      <w:r w:rsidR="003F4783">
        <w:t xml:space="preserve"> </w:t>
      </w:r>
      <w:r w:rsidR="00EF1358">
        <w:t xml:space="preserve">difficult </w:t>
      </w:r>
      <w:r w:rsidR="00381409">
        <w:t>to synthesise</w:t>
      </w:r>
      <w:r w:rsidR="000A0249">
        <w:t>,</w:t>
      </w:r>
      <w:r w:rsidR="006B6AE9">
        <w:t xml:space="preserve"> </w:t>
      </w:r>
      <w:r w:rsidR="00CE345B">
        <w:t xml:space="preserve">or use </w:t>
      </w:r>
      <w:r w:rsidR="00654085">
        <w:t xml:space="preserve">other </w:t>
      </w:r>
      <w:r w:rsidR="00CE345B">
        <w:t xml:space="preserve">costly </w:t>
      </w:r>
      <w:r w:rsidR="006B6AE9">
        <w:t>metathesis</w:t>
      </w:r>
      <w:r w:rsidR="003F4783">
        <w:t xml:space="preserve"> </w:t>
      </w:r>
      <w:r w:rsidR="00654085">
        <w:t>procedures</w:t>
      </w:r>
      <w:r w:rsidR="004C4A86">
        <w:t xml:space="preserve"> (e.g. </w:t>
      </w:r>
      <w:r w:rsidR="00256812">
        <w:t>silver halide metathesis</w:t>
      </w:r>
      <w:r w:rsidR="004C4A86">
        <w:t>)</w:t>
      </w:r>
      <w:r w:rsidR="006B6AE9">
        <w:t>.</w:t>
      </w:r>
      <w:r w:rsidR="00BE3E4D">
        <w:t xml:space="preserve"> Moreover, the precipitated calcium oxalate can be </w:t>
      </w:r>
      <w:r w:rsidR="00727A92">
        <w:t xml:space="preserve">easily </w:t>
      </w:r>
      <w:r w:rsidR="00BE3E4D">
        <w:t xml:space="preserve">recycled via calcination. </w:t>
      </w:r>
      <w:r w:rsidR="0009704D">
        <w:t>Then</w:t>
      </w:r>
      <w:r w:rsidR="00727A92">
        <w:t>, t</w:t>
      </w:r>
      <w:r w:rsidR="00BE3E4D">
        <w:t xml:space="preserve">he </w:t>
      </w:r>
      <w:r w:rsidR="00727A92">
        <w:t>formed</w:t>
      </w:r>
      <w:r w:rsidR="00BE3E4D">
        <w:t xml:space="preserve"> calcium oxide </w:t>
      </w:r>
      <w:r w:rsidR="00727A92">
        <w:t xml:space="preserve">can </w:t>
      </w:r>
      <w:r w:rsidR="00BE3E4D">
        <w:t>be used to newly form a metal salt via neutralization with the desired acid.</w:t>
      </w:r>
    </w:p>
    <w:tbl>
      <w:tblPr>
        <w:tblStyle w:val="TableGrid"/>
        <w:tblpPr w:leftFromText="181" w:rightFromText="181" w:topFromText="181" w:bottomFromText="181" w:tblpYSpec="bottom"/>
        <w:tblOverlap w:val="never"/>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80" w:type="dxa"/>
          <w:right w:w="0" w:type="dxa"/>
        </w:tblCellMar>
        <w:tblLook w:val="04A0" w:firstRow="1" w:lastRow="0" w:firstColumn="1" w:lastColumn="0" w:noHBand="0" w:noVBand="1"/>
      </w:tblPr>
      <w:tblGrid>
        <w:gridCol w:w="4979"/>
      </w:tblGrid>
      <w:tr w:rsidR="000F2F70" w14:paraId="057BD9D9" w14:textId="77777777" w:rsidTr="00D15268">
        <w:tc>
          <w:tcPr>
            <w:tcW w:w="5000" w:type="pct"/>
            <w:vAlign w:val="center"/>
          </w:tcPr>
          <w:p w14:paraId="5E693750" w14:textId="77777777" w:rsidR="000F2F70" w:rsidRDefault="000F2F70" w:rsidP="00D15268">
            <w:pPr>
              <w:pStyle w:val="RSCI02FigureSchemeChartwithtopbar"/>
            </w:pPr>
            <w:r>
              <w:rPr>
                <w:noProof/>
                <w:lang w:val="en-US"/>
              </w:rPr>
              <w:drawing>
                <wp:inline distT="0" distB="0" distL="0" distR="0" wp14:anchorId="609302AE" wp14:editId="02DAAA47">
                  <wp:extent cx="3164205" cy="414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205" cy="414655"/>
                          </a:xfrm>
                          <a:prstGeom prst="rect">
                            <a:avLst/>
                          </a:prstGeom>
                          <a:noFill/>
                          <a:ln>
                            <a:noFill/>
                          </a:ln>
                        </pic:spPr>
                      </pic:pic>
                    </a:graphicData>
                  </a:graphic>
                </wp:inline>
              </w:drawing>
            </w:r>
          </w:p>
        </w:tc>
      </w:tr>
      <w:tr w:rsidR="000F2F70" w14:paraId="5584BEA7" w14:textId="77777777" w:rsidTr="00D15268">
        <w:tc>
          <w:tcPr>
            <w:tcW w:w="5000" w:type="pct"/>
          </w:tcPr>
          <w:p w14:paraId="7B610EE1" w14:textId="7EF70D3C" w:rsidR="000F2F70" w:rsidRPr="00D55095" w:rsidRDefault="000F2F70" w:rsidP="00FF7BAC">
            <w:pPr>
              <w:pStyle w:val="RSCI04CaptiontoFigureSchemeChart"/>
            </w:pPr>
            <w:bookmarkStart w:id="24" w:name="_Ref26441218"/>
            <w:r>
              <w:t xml:space="preserve">Scheme </w:t>
            </w:r>
            <w:bookmarkEnd w:id="24"/>
            <w:r w:rsidR="00FF7BAC">
              <w:rPr>
                <w:noProof/>
              </w:rPr>
              <w:t>5</w:t>
            </w:r>
            <w:r>
              <w:t xml:space="preserve">. </w:t>
            </w:r>
            <w:r w:rsidRPr="0088210F">
              <w:t xml:space="preserve">General reaction scheme of </w:t>
            </w:r>
            <w:r>
              <w:t xml:space="preserve">the oxalate precipitation metathesis (1,3-di(decyl)imidazolium </w:t>
            </w:r>
            <w:r w:rsidRPr="008318AE">
              <w:t>cation</w:t>
            </w:r>
            <w:r>
              <w:t xml:space="preserve"> is used here as general example)</w:t>
            </w:r>
            <w:r w:rsidRPr="0088210F">
              <w:t>.</w:t>
            </w:r>
          </w:p>
        </w:tc>
      </w:tr>
    </w:tbl>
    <w:p w14:paraId="09D6FB77" w14:textId="3F1A4DF2" w:rsidR="00EF1358" w:rsidRDefault="00CE345B" w:rsidP="000B50FA">
      <w:pPr>
        <w:pStyle w:val="RSCB02ArticleText"/>
      </w:pPr>
      <w:r>
        <w:t xml:space="preserve">A small number of </w:t>
      </w:r>
      <w:r w:rsidR="007E3DDB">
        <w:t xml:space="preserve">calcium salts were tested </w:t>
      </w:r>
      <w:r w:rsidR="009B4C87">
        <w:t>with 1,3-di</w:t>
      </w:r>
      <w:r w:rsidR="00235D91">
        <w:t>(d</w:t>
      </w:r>
      <w:r w:rsidR="007D782F">
        <w:t>ecyl)</w:t>
      </w:r>
      <w:r w:rsidR="00912B73">
        <w:t xml:space="preserve">imidazolium </w:t>
      </w:r>
      <w:r w:rsidR="00B0498B">
        <w:t>hydr</w:t>
      </w:r>
      <w:r w:rsidR="00912B73">
        <w:t xml:space="preserve">oxalate </w:t>
      </w:r>
      <w:r w:rsidR="007E3DDB">
        <w:t xml:space="preserve">in order to </w:t>
      </w:r>
      <w:r w:rsidR="00BA344F">
        <w:t>test</w:t>
      </w:r>
      <w:r w:rsidR="007E3DDB">
        <w:t xml:space="preserve"> the viability of the metathesis procedure.</w:t>
      </w:r>
      <w:r w:rsidR="000F2F70">
        <w:t xml:space="preserve"> </w:t>
      </w:r>
      <w:r w:rsidR="00EF1358">
        <w:t xml:space="preserve">Calcium hydroxide and calcium carbonate were used in the attempt to produce imidazolium hydroxide and imidazolium carbonate, </w:t>
      </w:r>
      <w:r w:rsidR="00FD6324">
        <w:t xml:space="preserve">which </w:t>
      </w:r>
      <w:r w:rsidR="00FD5EF5">
        <w:t>would be</w:t>
      </w:r>
      <w:r w:rsidR="00EF1358">
        <w:t xml:space="preserve"> </w:t>
      </w:r>
      <w:r w:rsidR="004C539F">
        <w:t>optimal precursor</w:t>
      </w:r>
      <w:r w:rsidR="00FD6324">
        <w:t>s</w:t>
      </w:r>
      <w:r w:rsidR="00EF1358">
        <w:t xml:space="preserve"> to any imidazolium ionic liquid. None of these salts was isolated, instead complexes of calcium imidazolylidene were </w:t>
      </w:r>
      <w:r>
        <w:t xml:space="preserve">obtained </w:t>
      </w:r>
      <w:r w:rsidR="00EF1358">
        <w:t xml:space="preserve">with trace signals of the </w:t>
      </w:r>
      <w:r>
        <w:t xml:space="preserve">free </w:t>
      </w:r>
      <w:r w:rsidR="00EF1358">
        <w:t>carbene.</w:t>
      </w:r>
      <w:r w:rsidR="00AB19EC">
        <w:rPr>
          <w:rStyle w:val="FootnoteReference"/>
        </w:rPr>
        <w:fldChar w:fldCharType="begin" w:fldLock="1"/>
      </w:r>
      <w:r w:rsidR="00AB19EC">
        <w:instrText xml:space="preserve">ADDIN CSL_CITATION {"citationItems":[{"id":"ITEM-1","itemData":{"DOI":"10.1021/om800299j","ISSN":"02767333","abstract":"A series of N-heterocyclic carbene (NHC) adducts of the heavier group 2 bis(trimethylsilyl)amides, of the general formulas [(L1)M{N(SiMe 3)2}2], [(L2)Ca{N(SiMe 3)2}2], and [(L1)Ca{N(SiMe 3)2}Cl] (L1 = 1,3-bis(2,4,6-trimethylphenyl) imidazol-2-ylidene and L2 = 1,3-bis(2,6-diisopropylphenyl)imidazol-2- ylidene, M = Ca, Sr, and Ba), have been synthesized by either the addition of the group 2 amide to the appropriate imidazolium salt or direct addition of the carbene to the solvent-free, homoleptic, metal amide. X-ray diffraction studies of the reaction products revealed the formation of monomelic three-coordinate alkaline earth metal species in which the NHC binds via conventional σ-donation of the lone pair to the electrophilic metal center. Although 1H, 13C, and NOESY NMR experiments suggest this coordination is retained in solution, reactions with protic substrates such as 2-methoxyethylamine, diphenylamine, and di-p-tolylphosphine demonstrate the lability of the NHC under catalytically-relevant conditions. Furthermore, a series of reactions of [L1Ca{N(SiMe3)2} 2] with Lewis bases suggest that the strength of the interaction between the metal and neutral ligand decreases across the series Ph 3P=O &gt; NHC </w:instrText>
      </w:r>
      <w:r w:rsidR="00AB19EC">
        <w:rPr>
          <w:rFonts w:ascii="Cambria Math" w:hAnsi="Cambria Math" w:cs="Cambria Math"/>
        </w:rPr>
        <w:instrText>∼</w:instrText>
      </w:r>
      <w:r w:rsidR="00AB19EC">
        <w:instrText xml:space="preserve"> THF &gt; PPh3. In the case of triphenylphosphine oxide the structure of the reaction product, [(Ph 3P=O)2CaJ N(SiMe3)2}2], was confirmed by independent synthesis from addition of Ph3P=O to [Ca{N(SiMe3)2}2]. © 2008 American Chemical Society.","author":[{"dropping-particle":"","family":"Barrett","given":"Anthony G.M.","non-dropping-particle":"","parse-names":false,"suffix":""},{"dropping-particle":"","family":"Crimmin","given":"Mark R.","non-dropping-particle":"","parse-names":false,"suffix":""},{"dropping-particle":"","family":"Hill","given":"Michael S.","non-dropping-particle":"","parse-names":false,"suffix":""},{"dropping-particle":"","family":"Kociok-Köhn","given":"Gabriele","non-dropping-particle":"","parse-names":false,"suffix":""},{"dropping-particle":"","family":"MacDougall","given":"Dugald J.","non-dropping-particle":"","parse-names":false,"suffix":""},{"dropping-particle":"","family":"Mahon","given":"Mary F.","non-dropping-particle":"","parse-names":false,"suffix":""},{"dropping-particle":"","family":"Procopiou","given":"Panayiotis A.","non-dropping-particle":"","parse-names":false,"suffix":""}],"container-title":"Organometallics","id":"ITEM-1","issue":"15","issued":{"date-parts":[["2008"]]},"page":"3939-3946","title":"Synthesis, characterization, and solution lability of N-heterocyclic carbene adducts of the heavier group 2 bis(trimethylsilyl)amides","type":"article-journal","volume":"27"},"uris":["http://www.mendeley.com/documents/?uuid=561ca53a-ce46-43de-8401-71367282819d"]}],"mendeley":{"formattedCitation":"&lt;sup&gt;46&lt;/sup&gt;","plainTextFormattedCitation":"46","previouslyFormattedCitation":"&lt;sup&gt;46&lt;/sup&gt;"},"properties":{"noteIndex":0},"schema":"https://github.com/citation-style-language/schema/raw/master/csl-citation.json"}</w:instrText>
      </w:r>
      <w:r w:rsidR="00AB19EC">
        <w:rPr>
          <w:rStyle w:val="FootnoteReference"/>
        </w:rPr>
        <w:fldChar w:fldCharType="separate"/>
      </w:r>
      <w:r w:rsidR="00AB19EC" w:rsidRPr="00AB19EC">
        <w:rPr>
          <w:bCs/>
          <w:noProof/>
          <w:vertAlign w:val="superscript"/>
          <w:lang w:val="en-US"/>
        </w:rPr>
        <w:t>46</w:t>
      </w:r>
      <w:r w:rsidR="00AB19EC">
        <w:rPr>
          <w:rStyle w:val="FootnoteReference"/>
        </w:rPr>
        <w:fldChar w:fldCharType="end"/>
      </w:r>
      <w:r w:rsidR="00AB19EC">
        <w:t xml:space="preserve"> </w:t>
      </w:r>
      <w:r w:rsidR="00A14209">
        <w:t>However, t</w:t>
      </w:r>
      <w:r w:rsidR="00BA344F">
        <w:t xml:space="preserve">hese results demonstrated the </w:t>
      </w:r>
      <w:r w:rsidR="00EF1358">
        <w:t xml:space="preserve">procedure </w:t>
      </w:r>
      <w:r w:rsidR="00BA344F">
        <w:t>to be effective</w:t>
      </w:r>
      <w:r w:rsidR="00EF1358">
        <w:t xml:space="preserve"> for the production of </w:t>
      </w:r>
      <w:r w:rsidR="00FD6324">
        <w:t xml:space="preserve">metal coordinated </w:t>
      </w:r>
      <w:r w:rsidR="00EF1358">
        <w:t xml:space="preserve">N-heterocyclic carbene catalysts because </w:t>
      </w:r>
      <w:r>
        <w:t xml:space="preserve">being </w:t>
      </w:r>
      <w:r w:rsidR="00EF1358">
        <w:t xml:space="preserve">devoid of any halide in the production process, which is a common inhibitor of </w:t>
      </w:r>
      <w:r w:rsidR="00FD6324">
        <w:t xml:space="preserve">many metal </w:t>
      </w:r>
      <w:r w:rsidR="00EF1358">
        <w:t>catalysts.</w:t>
      </w:r>
      <w:r w:rsidR="00AB19EC">
        <w:rPr>
          <w:rStyle w:val="FootnoteReference"/>
        </w:rPr>
        <w:fldChar w:fldCharType="begin" w:fldLock="1"/>
      </w:r>
      <w:r w:rsidR="00AB19EC">
        <w:instrText>ADDIN CSL_CITATION {"citationItems":[{"id":"ITEM-1","itemData":{"DOI":"10.1021/op0100798","ISBN":"0471396982","ISSN":"1083-6160","abstract":"The most comprehensive reference in the field, Handbook of Heterogeneous Catalytic Hydrogenation for Organic Synthesis provides synthetic chemists and chemical engineers in fine chemicals and pharmaceuticals with detailed experimental guidelines for heterogeneous catalytic hydrogenation. Organized by functional groups for ready reference and featuring detailed examples of hundreds of reactions, this handbook covers hydrogenations of alkenes, alkynes, aldehydes and ketones, nitriles, imines, nitro and nitroso compounds, carboxylic acids and esters, and aromatic and heterocyclic compounds. In addition, coverage includes the preparation of amines by reductive alkylation and the hydrogenolysis of a variety of compounds. Examples of hydrogenation of functional groups and reaction pathways are illustrated with numerous equations and schemes. Practitioners will appreciate the plenitude of experimental details given for most of the reactions selected, including amounts of reagents and catalysts, reaction temperatures, hydrogen pressures, and reaction times. They will also find helpful the more than one hundred tables included throughout the book detailing the effects of key factors governing rate and selectivity, such as compound structure, the nature of catalysts and supports, and the nature of solvents. Researchers will benefit from the introductory chapters covering an array of hydrogenation catalysts, including nickel, cobalt, copper, iron, platinum group metals, rhenium, and other oxide and sulfide catalysts, as well as reactors and reaction conditions.","author":[{"dropping-particle":"","family":"Nishimura","given":"Shigeo","non-dropping-particle":"","parse-names":false,"suffix":""}],"container-title":"Handbook of Heterogeneous Catalytic Hydrogenation for Organic Synthesis","editor":[{"dropping-particle":"","family":"Nishimura","given":"Shigeo","non-dropping-particle":"","parse-names":false,"suffix":""}],"id":"ITEM-1","issued":{"date-parts":[["2001"]]},"publisher":"Wiley-Interscience","publisher-place":"New York, NY","title":"Handbook of Heterogeneous Catalytic Hydrogenation for Organic Synthesis","type":"book"},"uris":["http://www.mendeley.com/documents/?uuid=35e483bd-d5f8-4a9a-a131-a5d9ac316766"]}],"mendeley":{"formattedCitation":"&lt;sup&gt;47&lt;/sup&gt;","plainTextFormattedCitation":"47","previouslyFormattedCitation":"&lt;sup&gt;47&lt;/sup&gt;"},"properties":{"noteIndex":0},"schema":"https://github.com/citation-style-language/schema/raw/master/csl-citation.json"}</w:instrText>
      </w:r>
      <w:r w:rsidR="00AB19EC">
        <w:rPr>
          <w:rStyle w:val="FootnoteReference"/>
        </w:rPr>
        <w:fldChar w:fldCharType="separate"/>
      </w:r>
      <w:r w:rsidR="00AB19EC" w:rsidRPr="00AB19EC">
        <w:rPr>
          <w:bCs/>
          <w:noProof/>
          <w:vertAlign w:val="superscript"/>
          <w:lang w:val="en-US"/>
        </w:rPr>
        <w:t>47</w:t>
      </w:r>
      <w:r w:rsidR="00AB19EC">
        <w:rPr>
          <w:rStyle w:val="FootnoteReference"/>
        </w:rPr>
        <w:fldChar w:fldCharType="end"/>
      </w:r>
    </w:p>
    <w:p w14:paraId="38599C74" w14:textId="77777777" w:rsidR="00912D6B" w:rsidRDefault="00EF1358" w:rsidP="000B50FA">
      <w:pPr>
        <w:pStyle w:val="RSCB02ArticleText"/>
      </w:pPr>
      <w:r>
        <w:t>Calcium fluoride was also used to attempt the synthesis of imidazolium fluoride salts. Introducing the fl</w:t>
      </w:r>
      <w:r w:rsidR="0087101B">
        <w:t xml:space="preserve">uoride anion as counter-ion </w:t>
      </w:r>
      <w:r w:rsidR="00FD5EF5">
        <w:t xml:space="preserve">via reported procedures </w:t>
      </w:r>
      <w:r w:rsidR="0087101B">
        <w:t>is</w:t>
      </w:r>
      <w:r>
        <w:t xml:space="preserve"> particularly </w:t>
      </w:r>
      <w:r w:rsidR="00381409">
        <w:t>cumbersome</w:t>
      </w:r>
      <w:r>
        <w:t xml:space="preserve"> because of both the extremely reduced acidity of hydrofluoric acid and the high hazard posed by the handling of hydrofluoric acid. T</w:t>
      </w:r>
      <w:r w:rsidR="004C539F">
        <w:t xml:space="preserve">he </w:t>
      </w:r>
      <w:r>
        <w:t xml:space="preserve">fluoride </w:t>
      </w:r>
      <w:r w:rsidR="004C539F">
        <w:t>an</w:t>
      </w:r>
      <w:r>
        <w:t>ion was only partially introduced via the oxal</w:t>
      </w:r>
      <w:r w:rsidR="004C539F">
        <w:t>ate</w:t>
      </w:r>
      <w:r>
        <w:t xml:space="preserve"> </w:t>
      </w:r>
      <w:r w:rsidR="004C539F">
        <w:t xml:space="preserve">precipitation </w:t>
      </w:r>
      <w:r>
        <w:t xml:space="preserve">metathesis. </w:t>
      </w:r>
      <w:r w:rsidR="00B24EA4">
        <w:t>Calcium</w:t>
      </w:r>
      <w:r>
        <w:t xml:space="preserve"> fluoride</w:t>
      </w:r>
      <w:r w:rsidR="00310EE4">
        <w:t xml:space="preserve"> (i.e. </w:t>
      </w:r>
      <w:r w:rsidR="002F3038">
        <w:t>0.</w:t>
      </w:r>
      <w:r w:rsidR="00AC5BFA">
        <w:t>0</w:t>
      </w:r>
      <w:r w:rsidR="00310EE4" w:rsidRPr="00BE7C42">
        <w:t>16</w:t>
      </w:r>
      <w:r w:rsidR="002F3038" w:rsidRPr="00D41AFF">
        <w:t xml:space="preserve"> g</w:t>
      </w:r>
      <w:r w:rsidR="002F3038">
        <w:t xml:space="preserve"> </w:t>
      </w:r>
      <w:r w:rsidR="002F3038" w:rsidRPr="00D41AFF">
        <w:t>L</w:t>
      </w:r>
      <w:r w:rsidR="002F3038" w:rsidRPr="004A572D">
        <w:t>¯¹</w:t>
      </w:r>
      <w:r w:rsidR="002F3038" w:rsidRPr="00D41AFF">
        <w:t>)</w:t>
      </w:r>
      <w:r>
        <w:t xml:space="preserve"> </w:t>
      </w:r>
      <w:r w:rsidR="00CE345B">
        <w:t>has</w:t>
      </w:r>
      <w:r w:rsidR="00B24EA4">
        <w:t xml:space="preserve"> a </w:t>
      </w:r>
      <w:r w:rsidR="000F2F70">
        <w:t>low</w:t>
      </w:r>
      <w:r w:rsidR="00523AB4">
        <w:t>er</w:t>
      </w:r>
      <w:r w:rsidR="00B24EA4">
        <w:t xml:space="preserve"> solubility than </w:t>
      </w:r>
      <w:r w:rsidR="00310EE4">
        <w:t>calcium oxalate</w:t>
      </w:r>
      <w:r w:rsidR="00E469B8">
        <w:t xml:space="preserve">, which partly explains </w:t>
      </w:r>
      <w:r w:rsidR="00333CC3">
        <w:t>the metathesis outcome</w:t>
      </w:r>
      <w:r w:rsidR="00BE7C42">
        <w:t>.</w:t>
      </w:r>
      <w:r w:rsidR="00AB19EC">
        <w:rPr>
          <w:rStyle w:val="FootnoteReference"/>
        </w:rPr>
        <w:fldChar w:fldCharType="begin" w:fldLock="1"/>
      </w:r>
      <w:r w:rsidR="00AB19EC">
        <w:instrText>ADDIN CSL_CITATION {"citationItems":[{"id":"ITEM-1","itemData":{"DOI":"10.1021/ja041017a","ISBN":"9781482208689","ISSN":"0002-7863","PMID":"12006166","abstract":"p 6-174 (pas op 2 pagina's met deze nr Lide, D. R. CRC Handbook of Chemistry and Physics, Internet Version 2005; CRC Press, 2005. David R. Lide, ed., CRC Handbook of Chemistry and Physics, Internet Version 2005, &lt;http://www.hbcpnetbase.com&gt;, CRC Press, Boca Raton, FL, 2005.","author":[{"dropping-particle":"","family":"Lide","given":"David R.","non-dropping-particle":"","parse-names":false,"suffix":""}],"container-title":"CRC Handbook of Chemistry and Physics","editor":[{"dropping-particle":"","family":"Lide","given":"David R.","non-dropping-particle":"","parse-names":false,"suffix":""}],"id":"ITEM-1","issued":{"date-parts":[["2005"]]},"number-of-pages":"2313-2314","publisher":"CRC Press","publisher-place":"Boca Raton, FL","title":"CRC Handbook of Chemistry and Physics","type":"book"},"uris":["http://www.mendeley.com/documents/?uuid=e56bb41f-45b4-468d-bc3d-d5da46a21bcd"]}],"mendeley":{"formattedCitation":"&lt;sup&gt;45&lt;/sup&gt;","plainTextFormattedCitation":"45","previouslyFormattedCitation":"&lt;sup&gt;45&lt;/sup&gt;"},"properties":{"noteIndex":0},"schema":"https://github.com/citation-style-language/schema/raw/master/csl-citation.json"}</w:instrText>
      </w:r>
      <w:r w:rsidR="00AB19EC">
        <w:rPr>
          <w:rStyle w:val="FootnoteReference"/>
        </w:rPr>
        <w:fldChar w:fldCharType="separate"/>
      </w:r>
      <w:r w:rsidR="00AB19EC" w:rsidRPr="00AB19EC">
        <w:rPr>
          <w:noProof/>
          <w:vertAlign w:val="superscript"/>
        </w:rPr>
        <w:t>45</w:t>
      </w:r>
      <w:r w:rsidR="00AB19EC">
        <w:rPr>
          <w:rStyle w:val="FootnoteReference"/>
        </w:rPr>
        <w:fldChar w:fldCharType="end"/>
      </w:r>
      <w:r w:rsidR="00AB19EC">
        <w:t xml:space="preserve"> </w:t>
      </w:r>
      <w:r w:rsidR="00523AB4">
        <w:t xml:space="preserve">The reaction was repeated </w:t>
      </w:r>
      <w:r w:rsidR="00A14209">
        <w:t xml:space="preserve">allowing the reagents to react for a longer time and </w:t>
      </w:r>
      <w:r w:rsidR="00523AB4">
        <w:t>with a</w:t>
      </w:r>
      <w:r w:rsidR="00A14209">
        <w:t>n</w:t>
      </w:r>
      <w:r w:rsidR="00523AB4">
        <w:t xml:space="preserve"> excess of calcium fluoride</w:t>
      </w:r>
      <w:r w:rsidR="00B5085F">
        <w:t>,</w:t>
      </w:r>
      <w:r w:rsidR="00523AB4">
        <w:t xml:space="preserve"> resulting</w:t>
      </w:r>
      <w:r w:rsidR="0087101B">
        <w:t xml:space="preserve"> only</w:t>
      </w:r>
      <w:r w:rsidR="00523AB4">
        <w:t xml:space="preserve"> </w:t>
      </w:r>
      <w:r w:rsidR="00BA344F">
        <w:t>in a partial conversion</w:t>
      </w:r>
      <w:r w:rsidR="00523AB4">
        <w:t>.</w:t>
      </w:r>
    </w:p>
    <w:p w14:paraId="1F0BBD79" w14:textId="603BC13D" w:rsidR="00E61949" w:rsidRPr="00A61D3E" w:rsidRDefault="00180ABE" w:rsidP="00AF4737">
      <w:pPr>
        <w:pStyle w:val="RSCB04AHeadingSection"/>
      </w:pPr>
      <w:r w:rsidRPr="00A61D3E">
        <w:t>Conclusions</w:t>
      </w:r>
    </w:p>
    <w:p w14:paraId="729386D5" w14:textId="6F852E2D" w:rsidR="00B14482" w:rsidRPr="0093772D" w:rsidRDefault="00B14482" w:rsidP="000B50FA">
      <w:pPr>
        <w:pStyle w:val="RSCB02ArticleText"/>
      </w:pPr>
      <w:r w:rsidRPr="0093772D">
        <w:t>Long</w:t>
      </w:r>
      <w:r w:rsidR="00AC5BFA">
        <w:t>-</w:t>
      </w:r>
      <w:r w:rsidRPr="0093772D">
        <w:t xml:space="preserve">chain imidazolium ionic liquids were synthesised in high yield from readily available chemicals (i.e. formaldehyde, acetic acid, and glyoxal). We optimised the one-pot halide-less synthesis to attain a series of </w:t>
      </w:r>
      <w:r w:rsidR="001F5D13">
        <w:t>ionic liquid</w:t>
      </w:r>
      <w:r w:rsidR="0029575B">
        <w:t xml:space="preserve">s </w:t>
      </w:r>
      <w:r w:rsidRPr="0093772D">
        <w:t xml:space="preserve">with longer linear alkyl chains with respect to the currently viable ones </w:t>
      </w:r>
      <w:r w:rsidR="0088053C">
        <w:t>via</w:t>
      </w:r>
      <w:r w:rsidRPr="0093772D">
        <w:t xml:space="preserve"> the reported procedure. The investigations on the reaction procedure allowed us to identify the </w:t>
      </w:r>
      <w:r w:rsidR="008866FA" w:rsidRPr="008866FA">
        <w:t xml:space="preserve">1,3,5-trialkylhexahydro-1,3,5-triazine </w:t>
      </w:r>
      <w:r w:rsidRPr="0093772D">
        <w:t xml:space="preserve">self-segregation as a key </w:t>
      </w:r>
      <w:r w:rsidR="0029575B">
        <w:t xml:space="preserve">reaction </w:t>
      </w:r>
      <w:r w:rsidR="00CE345B">
        <w:t>feature</w:t>
      </w:r>
      <w:r w:rsidR="0029575B">
        <w:t xml:space="preserve">, </w:t>
      </w:r>
      <w:r w:rsidRPr="0093772D">
        <w:t xml:space="preserve">suggestive of an on-water catalytic effect. The formation of </w:t>
      </w:r>
      <w:r w:rsidR="0029575B">
        <w:t>a</w:t>
      </w:r>
      <w:r w:rsidRPr="0093772D">
        <w:t xml:space="preserve"> biphasic system explained the high yields achieved</w:t>
      </w:r>
      <w:r w:rsidR="0029575B">
        <w:t xml:space="preserve"> by the reaction modification</w:t>
      </w:r>
      <w:r w:rsidRPr="0093772D">
        <w:t>.</w:t>
      </w:r>
    </w:p>
    <w:p w14:paraId="6AED21B6" w14:textId="669B79F3" w:rsidR="0029575B" w:rsidRDefault="0029575B" w:rsidP="000B50FA">
      <w:pPr>
        <w:pStyle w:val="RSCB02ArticleText"/>
      </w:pPr>
      <w:r w:rsidRPr="0093772D">
        <w:t>The</w:t>
      </w:r>
      <w:r>
        <w:t xml:space="preserve"> stability </w:t>
      </w:r>
      <w:r w:rsidR="004F6187">
        <w:t xml:space="preserve">of the products </w:t>
      </w:r>
      <w:r>
        <w:t>was found to be chiefly dependent on the anion. Moreover, t</w:t>
      </w:r>
      <w:r w:rsidR="00B14482" w:rsidRPr="0093772D">
        <w:t xml:space="preserve">he longer side-chains induced in the imidazolium salts a </w:t>
      </w:r>
      <w:r w:rsidR="001F5D13">
        <w:t>complex</w:t>
      </w:r>
      <w:r w:rsidR="00B14482" w:rsidRPr="0093772D">
        <w:t xml:space="preserve"> phase behaviour, which was particularly apparent </w:t>
      </w:r>
      <w:r w:rsidR="005B7C30">
        <w:t>via the</w:t>
      </w:r>
      <w:r>
        <w:t xml:space="preserve"> calorimetric analysis.</w:t>
      </w:r>
    </w:p>
    <w:p w14:paraId="20A89191" w14:textId="3ECD9E69" w:rsidR="00B14482" w:rsidRPr="0093772D" w:rsidRDefault="0029575B" w:rsidP="000B50FA">
      <w:pPr>
        <w:pStyle w:val="RSCB02ArticleText"/>
      </w:pPr>
      <w:r>
        <w:t>These</w:t>
      </w:r>
      <w:r w:rsidR="001F5D13">
        <w:t xml:space="preserve"> ionic liquid</w:t>
      </w:r>
      <w:r w:rsidR="00B14482" w:rsidRPr="0093772D">
        <w:t xml:space="preserve">s showed a </w:t>
      </w:r>
      <w:r w:rsidR="001F5D13">
        <w:t>surfactant</w:t>
      </w:r>
      <w:r w:rsidR="00B14482" w:rsidRPr="0093772D">
        <w:t xml:space="preserve"> behaviour in aqueous solutions, acting either as a tensioactive or as gelator. With alkyl chains from octyl to tetradecyl, the acetate and chloride imidazolium salts acted as foaming agents, whereas </w:t>
      </w:r>
      <w:r w:rsidR="00CE345B">
        <w:t>1,3-d</w:t>
      </w:r>
      <w:r w:rsidR="00235D91">
        <w:t>i(h</w:t>
      </w:r>
      <w:r w:rsidR="00B14482" w:rsidRPr="0093772D">
        <w:t xml:space="preserve">exadecyl)imidazolium acetate formed a gel. </w:t>
      </w:r>
    </w:p>
    <w:p w14:paraId="7DE528A3" w14:textId="5781F1D6" w:rsidR="00B14482" w:rsidRDefault="00B14482" w:rsidP="000B50FA">
      <w:pPr>
        <w:pStyle w:val="RSCB02ArticleText"/>
      </w:pPr>
      <w:r w:rsidRPr="0093772D">
        <w:t>Imidazolium hydro</w:t>
      </w:r>
      <w:r w:rsidR="004F6187">
        <w:t>gen o</w:t>
      </w:r>
      <w:r w:rsidRPr="0093772D">
        <w:t>xalate salts were studied as precursor</w:t>
      </w:r>
      <w:r w:rsidR="00CE345B">
        <w:t>s</w:t>
      </w:r>
      <w:r w:rsidRPr="0093772D">
        <w:t xml:space="preserve"> for salt precipitation metathesis due to the </w:t>
      </w:r>
      <w:r>
        <w:t>extreme</w:t>
      </w:r>
      <w:r w:rsidRPr="0093772D">
        <w:t xml:space="preserve"> </w:t>
      </w:r>
      <w:r w:rsidRPr="0093772D">
        <w:lastRenderedPageBreak/>
        <w:t>oxalate salt insolubility in water. In presence of strongly basic counterions (e.g. calcium carbonate, calcium hydroxide) the reaction proceeded to full conversion</w:t>
      </w:r>
      <w:r w:rsidR="000F2F70">
        <w:t>,</w:t>
      </w:r>
      <w:r w:rsidRPr="0093772D">
        <w:t xml:space="preserve"> but otherwise (e.g. calcium fluoride) the </w:t>
      </w:r>
      <w:r w:rsidR="0029575B">
        <w:t xml:space="preserve">mixture </w:t>
      </w:r>
      <w:r>
        <w:t>did</w:t>
      </w:r>
      <w:r w:rsidRPr="0093772D">
        <w:t xml:space="preserve"> </w:t>
      </w:r>
      <w:r w:rsidR="0014599B">
        <w:t>not reach</w:t>
      </w:r>
      <w:r w:rsidR="006B1F1E">
        <w:t xml:space="preserve"> </w:t>
      </w:r>
      <w:r w:rsidRPr="0093772D">
        <w:t xml:space="preserve">full </w:t>
      </w:r>
      <w:r w:rsidR="0029575B" w:rsidRPr="0093772D">
        <w:t>conversion</w:t>
      </w:r>
      <w:r w:rsidRPr="0093772D">
        <w:t>, not allowing for a complete</w:t>
      </w:r>
      <w:r w:rsidR="0029575B" w:rsidRPr="0029575B">
        <w:t xml:space="preserve"> </w:t>
      </w:r>
      <w:r w:rsidR="0029575B" w:rsidRPr="0093772D">
        <w:t>metathesis</w:t>
      </w:r>
      <w:r w:rsidRPr="0093772D">
        <w:t xml:space="preserve">. Although this setback, oxalate </w:t>
      </w:r>
      <w:r w:rsidR="00E75B4D">
        <w:t>precipitation</w:t>
      </w:r>
      <w:r>
        <w:t xml:space="preserve"> </w:t>
      </w:r>
      <w:r w:rsidR="000C2219">
        <w:t>seems</w:t>
      </w:r>
      <w:r w:rsidRPr="0093772D">
        <w:t xml:space="preserve"> </w:t>
      </w:r>
      <w:r w:rsidR="000C2219">
        <w:t xml:space="preserve">a </w:t>
      </w:r>
      <w:r w:rsidR="000F2F70">
        <w:t>promising</w:t>
      </w:r>
      <w:r w:rsidRPr="0093772D">
        <w:t xml:space="preserve"> methodology for the production of imidazolyldene metal salts via an halide-less procedure, which is of interest for the production of metal catalysts</w:t>
      </w:r>
      <w:r w:rsidR="00A41ACA">
        <w:t>.</w:t>
      </w:r>
    </w:p>
    <w:p w14:paraId="7B575669" w14:textId="77777777" w:rsidR="008D78C4" w:rsidRPr="0012525E" w:rsidRDefault="008D78C4" w:rsidP="008D78C4">
      <w:pPr>
        <w:pStyle w:val="RSCB04AHeadingSection"/>
        <w:rPr>
          <w:noProof/>
        </w:rPr>
      </w:pPr>
      <w:r w:rsidRPr="0012525E">
        <w:rPr>
          <w:noProof/>
        </w:rPr>
        <w:t>Conflict of interest</w:t>
      </w:r>
    </w:p>
    <w:p w14:paraId="609B05BC" w14:textId="77777777" w:rsidR="008D78C4" w:rsidRPr="0012525E" w:rsidRDefault="008D78C4" w:rsidP="000B50FA">
      <w:pPr>
        <w:pStyle w:val="RSCB02ArticleText"/>
        <w:rPr>
          <w:noProof/>
        </w:rPr>
      </w:pPr>
      <w:r w:rsidRPr="0012525E">
        <w:rPr>
          <w:noProof/>
        </w:rPr>
        <w:t>There are no conflicts to declare.</w:t>
      </w:r>
    </w:p>
    <w:p w14:paraId="3DE684D9" w14:textId="77777777" w:rsidR="003C763C" w:rsidRPr="00C8285D" w:rsidRDefault="003C763C" w:rsidP="003C763C">
      <w:pPr>
        <w:pStyle w:val="RSCB04AHeadingSection"/>
        <w:rPr>
          <w:noProof/>
        </w:rPr>
      </w:pPr>
      <w:r w:rsidRPr="00C8285D">
        <w:rPr>
          <w:noProof/>
        </w:rPr>
        <w:t>Acknowledgement</w:t>
      </w:r>
    </w:p>
    <w:p w14:paraId="4F834F26" w14:textId="365E256C" w:rsidR="003C763C" w:rsidRPr="00722082" w:rsidRDefault="003C763C" w:rsidP="000B50FA">
      <w:pPr>
        <w:pStyle w:val="RSCB02ArticleText"/>
      </w:pPr>
      <w:r w:rsidRPr="00722082">
        <w:t xml:space="preserve">A </w:t>
      </w:r>
      <w:r w:rsidR="007A2EB7">
        <w:t>particular thanks</w:t>
      </w:r>
      <w:r w:rsidRPr="00722082">
        <w:t xml:space="preserve"> is due to Daphne </w:t>
      </w:r>
      <w:r w:rsidR="00612304" w:rsidRPr="004B6602">
        <w:t>Depuydt</w:t>
      </w:r>
      <w:r w:rsidRPr="00722082">
        <w:t>, whom introduced me to this reaction and stimulat</w:t>
      </w:r>
      <w:r w:rsidR="004B6602">
        <w:t>ed</w:t>
      </w:r>
      <w:r w:rsidRPr="00722082">
        <w:t xml:space="preserve"> my curiosity in </w:t>
      </w:r>
      <w:r w:rsidR="00E20EA6">
        <w:t xml:space="preserve">its </w:t>
      </w:r>
      <w:r w:rsidR="00E20EA6" w:rsidRPr="00722082">
        <w:t>modification</w:t>
      </w:r>
      <w:r w:rsidRPr="00722082">
        <w:t>.</w:t>
      </w:r>
    </w:p>
    <w:p w14:paraId="15B486BD" w14:textId="10622CAF" w:rsidR="000F2F70" w:rsidRPr="00722082" w:rsidRDefault="000F2F70" w:rsidP="000B50FA">
      <w:pPr>
        <w:pStyle w:val="RSCB02ArticleText"/>
      </w:pPr>
      <w:r w:rsidRPr="00722082">
        <w:t>The research leading to these results received funding from the Horizon 2020 Programme ([H2020/2014-2019]) of the European Community under Grant Agreement no. 721385 (MSCA-ETN SOCRATES)</w:t>
      </w:r>
      <w:r>
        <w:t xml:space="preserve"> and </w:t>
      </w:r>
      <w:r w:rsidRPr="00722082">
        <w:t>Grant Agreement no. 674406 (MSCA-ETN SULTAN). This publication ref</w:t>
      </w:r>
      <w:r>
        <w:t>l</w:t>
      </w:r>
      <w:r w:rsidRPr="00722082">
        <w:t>ects only the view of the authors, the European Community is exempted from any liability. Project website</w:t>
      </w:r>
      <w:r>
        <w:t>s</w:t>
      </w:r>
      <w:r w:rsidRPr="00722082">
        <w:t xml:space="preserve">: </w:t>
      </w:r>
      <w:r w:rsidRPr="000F2F70">
        <w:t>http://etn-socrates.eu/</w:t>
      </w:r>
      <w:r>
        <w:t xml:space="preserve"> and </w:t>
      </w:r>
      <w:r w:rsidRPr="00722082">
        <w:t>http://etn-sultan.eu/</w:t>
      </w:r>
      <w:r>
        <w:t>.</w:t>
      </w:r>
    </w:p>
    <w:p w14:paraId="084F1EE3" w14:textId="756B9D42" w:rsidR="00D010E8" w:rsidRPr="00EF6BD4" w:rsidRDefault="008D78C4" w:rsidP="00EF6BD4">
      <w:pPr>
        <w:pStyle w:val="RSCB04AHeadingSection"/>
      </w:pPr>
      <w:r>
        <w:t>R</w:t>
      </w:r>
      <w:r w:rsidR="00E61949" w:rsidRPr="00EF6BD4">
        <w:t>eferences</w:t>
      </w:r>
    </w:p>
    <w:p w14:paraId="23107907" w14:textId="67CF6F7E" w:rsidR="00CF3D89" w:rsidRPr="00CF3D89" w:rsidRDefault="00AB19EC" w:rsidP="00CF3D89">
      <w:pPr>
        <w:widowControl w:val="0"/>
        <w:autoSpaceDE w:val="0"/>
        <w:autoSpaceDN w:val="0"/>
        <w:adjustRightInd w:val="0"/>
        <w:spacing w:after="0" w:line="240" w:lineRule="exact"/>
        <w:ind w:left="640" w:hanging="640"/>
        <w:rPr>
          <w:rFonts w:ascii="Calibri" w:hAnsi="Calibri" w:cs="Calibri"/>
          <w:noProof/>
          <w:sz w:val="18"/>
          <w:szCs w:val="24"/>
        </w:rPr>
      </w:pPr>
      <w:r>
        <w:rPr>
          <w:rFonts w:ascii="Calibri" w:hAnsi="Calibri" w:cs="Calibri"/>
          <w:noProof/>
          <w:sz w:val="18"/>
          <w:szCs w:val="24"/>
        </w:rPr>
        <w:fldChar w:fldCharType="begin" w:fldLock="1"/>
      </w:r>
      <w:r>
        <w:rPr>
          <w:rFonts w:ascii="Calibri" w:hAnsi="Calibri" w:cs="Calibri"/>
          <w:noProof/>
          <w:sz w:val="18"/>
          <w:szCs w:val="24"/>
        </w:rPr>
        <w:instrText xml:space="preserve">ADDIN Mendeley Bibliography CSL_BIBLIOGRAPHY </w:instrText>
      </w:r>
      <w:r>
        <w:rPr>
          <w:rFonts w:ascii="Calibri" w:hAnsi="Calibri" w:cs="Calibri"/>
          <w:noProof/>
          <w:sz w:val="18"/>
          <w:szCs w:val="24"/>
        </w:rPr>
        <w:fldChar w:fldCharType="separate"/>
      </w:r>
      <w:r w:rsidR="00CF3D89" w:rsidRPr="00CF3D89">
        <w:rPr>
          <w:rFonts w:ascii="Calibri" w:hAnsi="Calibri" w:cs="Calibri"/>
          <w:noProof/>
          <w:sz w:val="18"/>
          <w:szCs w:val="24"/>
        </w:rPr>
        <w:t>1</w:t>
      </w:r>
      <w:r w:rsidR="00CF3D89" w:rsidRPr="00CF3D89">
        <w:rPr>
          <w:rFonts w:ascii="Calibri" w:hAnsi="Calibri" w:cs="Calibri"/>
          <w:noProof/>
          <w:sz w:val="18"/>
          <w:szCs w:val="24"/>
        </w:rPr>
        <w:tab/>
        <w:t xml:space="preserve">R. P. Matthews, T. Welton and P. A. Hunt, </w:t>
      </w:r>
      <w:r w:rsidR="00CF3D89" w:rsidRPr="00CF3D89">
        <w:rPr>
          <w:rFonts w:ascii="Calibri" w:hAnsi="Calibri" w:cs="Calibri"/>
          <w:i/>
          <w:iCs/>
          <w:noProof/>
          <w:sz w:val="18"/>
          <w:szCs w:val="24"/>
        </w:rPr>
        <w:t>Phys. Chem. Chem. Phys.</w:t>
      </w:r>
      <w:r w:rsidR="00CF3D89" w:rsidRPr="00CF3D89">
        <w:rPr>
          <w:rFonts w:ascii="Calibri" w:hAnsi="Calibri" w:cs="Calibri"/>
          <w:noProof/>
          <w:sz w:val="18"/>
          <w:szCs w:val="24"/>
        </w:rPr>
        <w:t xml:space="preserve">, 2015, </w:t>
      </w:r>
      <w:r w:rsidR="00CF3D89" w:rsidRPr="00CF3D89">
        <w:rPr>
          <w:rFonts w:ascii="Calibri" w:hAnsi="Calibri" w:cs="Calibri"/>
          <w:b/>
          <w:bCs/>
          <w:noProof/>
          <w:sz w:val="18"/>
          <w:szCs w:val="24"/>
        </w:rPr>
        <w:t>17</w:t>
      </w:r>
      <w:r w:rsidR="00CF3D89" w:rsidRPr="00CF3D89">
        <w:rPr>
          <w:rFonts w:ascii="Calibri" w:hAnsi="Calibri" w:cs="Calibri"/>
          <w:noProof/>
          <w:sz w:val="18"/>
          <w:szCs w:val="24"/>
        </w:rPr>
        <w:t>, 14437–14453.</w:t>
      </w:r>
    </w:p>
    <w:p w14:paraId="49FFCF51"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w:t>
      </w:r>
      <w:r w:rsidRPr="00CF3D89">
        <w:rPr>
          <w:rFonts w:ascii="Calibri" w:hAnsi="Calibri" w:cs="Calibri"/>
          <w:noProof/>
          <w:sz w:val="18"/>
          <w:szCs w:val="24"/>
        </w:rPr>
        <w:tab/>
        <w:t xml:space="preserve">R. P. Matthews, T. Welton and P. A. Hunt, </w:t>
      </w:r>
      <w:r w:rsidRPr="00CF3D89">
        <w:rPr>
          <w:rFonts w:ascii="Calibri" w:hAnsi="Calibri" w:cs="Calibri"/>
          <w:i/>
          <w:iCs/>
          <w:noProof/>
          <w:sz w:val="18"/>
          <w:szCs w:val="24"/>
        </w:rPr>
        <w:t>Phys. Chem. Chem. Phys.</w:t>
      </w:r>
      <w:r w:rsidRPr="00CF3D89">
        <w:rPr>
          <w:rFonts w:ascii="Calibri" w:hAnsi="Calibri" w:cs="Calibri"/>
          <w:noProof/>
          <w:sz w:val="18"/>
          <w:szCs w:val="24"/>
        </w:rPr>
        <w:t xml:space="preserve">, 2014, </w:t>
      </w:r>
      <w:r w:rsidRPr="00CF3D89">
        <w:rPr>
          <w:rFonts w:ascii="Calibri" w:hAnsi="Calibri" w:cs="Calibri"/>
          <w:b/>
          <w:bCs/>
          <w:noProof/>
          <w:sz w:val="18"/>
          <w:szCs w:val="24"/>
        </w:rPr>
        <w:t>16</w:t>
      </w:r>
      <w:r w:rsidRPr="00CF3D89">
        <w:rPr>
          <w:rFonts w:ascii="Calibri" w:hAnsi="Calibri" w:cs="Calibri"/>
          <w:noProof/>
          <w:sz w:val="18"/>
          <w:szCs w:val="24"/>
        </w:rPr>
        <w:t>, 3238–3253.</w:t>
      </w:r>
    </w:p>
    <w:p w14:paraId="75C14518"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w:t>
      </w:r>
      <w:r w:rsidRPr="00CF3D89">
        <w:rPr>
          <w:rFonts w:ascii="Calibri" w:hAnsi="Calibri" w:cs="Calibri"/>
          <w:noProof/>
          <w:sz w:val="18"/>
          <w:szCs w:val="24"/>
        </w:rPr>
        <w:tab/>
        <w:t xml:space="preserve">P. A. Hunt, I. R. Gould and B. Kirchner, </w:t>
      </w:r>
      <w:r w:rsidRPr="00CF3D89">
        <w:rPr>
          <w:rFonts w:ascii="Calibri" w:hAnsi="Calibri" w:cs="Calibri"/>
          <w:i/>
          <w:iCs/>
          <w:noProof/>
          <w:sz w:val="18"/>
          <w:szCs w:val="24"/>
        </w:rPr>
        <w:t>Aust. J. Chem.</w:t>
      </w:r>
      <w:r w:rsidRPr="00CF3D89">
        <w:rPr>
          <w:rFonts w:ascii="Calibri" w:hAnsi="Calibri" w:cs="Calibri"/>
          <w:noProof/>
          <w:sz w:val="18"/>
          <w:szCs w:val="24"/>
        </w:rPr>
        <w:t xml:space="preserve">, 2007, </w:t>
      </w:r>
      <w:r w:rsidRPr="00CF3D89">
        <w:rPr>
          <w:rFonts w:ascii="Calibri" w:hAnsi="Calibri" w:cs="Calibri"/>
          <w:b/>
          <w:bCs/>
          <w:noProof/>
          <w:sz w:val="18"/>
          <w:szCs w:val="24"/>
        </w:rPr>
        <w:t>60</w:t>
      </w:r>
      <w:r w:rsidRPr="00CF3D89">
        <w:rPr>
          <w:rFonts w:ascii="Calibri" w:hAnsi="Calibri" w:cs="Calibri"/>
          <w:noProof/>
          <w:sz w:val="18"/>
          <w:szCs w:val="24"/>
        </w:rPr>
        <w:t>, 9–14.</w:t>
      </w:r>
    </w:p>
    <w:p w14:paraId="12848E6D"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w:t>
      </w:r>
      <w:r w:rsidRPr="00CF3D89">
        <w:rPr>
          <w:rFonts w:ascii="Calibri" w:hAnsi="Calibri" w:cs="Calibri"/>
          <w:noProof/>
          <w:sz w:val="18"/>
          <w:szCs w:val="24"/>
        </w:rPr>
        <w:tab/>
        <w:t xml:space="preserve">P. A. Hunt and I. R. Gould, </w:t>
      </w:r>
      <w:r w:rsidRPr="00CF3D89">
        <w:rPr>
          <w:rFonts w:ascii="Calibri" w:hAnsi="Calibri" w:cs="Calibri"/>
          <w:i/>
          <w:iCs/>
          <w:noProof/>
          <w:sz w:val="18"/>
          <w:szCs w:val="24"/>
        </w:rPr>
        <w:t>J. Phys. Chem. A</w:t>
      </w:r>
      <w:r w:rsidRPr="00CF3D89">
        <w:rPr>
          <w:rFonts w:ascii="Calibri" w:hAnsi="Calibri" w:cs="Calibri"/>
          <w:noProof/>
          <w:sz w:val="18"/>
          <w:szCs w:val="24"/>
        </w:rPr>
        <w:t xml:space="preserve">, 2006, </w:t>
      </w:r>
      <w:r w:rsidRPr="00CF3D89">
        <w:rPr>
          <w:rFonts w:ascii="Calibri" w:hAnsi="Calibri" w:cs="Calibri"/>
          <w:b/>
          <w:bCs/>
          <w:noProof/>
          <w:sz w:val="18"/>
          <w:szCs w:val="24"/>
        </w:rPr>
        <w:t>110</w:t>
      </w:r>
      <w:r w:rsidRPr="00CF3D89">
        <w:rPr>
          <w:rFonts w:ascii="Calibri" w:hAnsi="Calibri" w:cs="Calibri"/>
          <w:noProof/>
          <w:sz w:val="18"/>
          <w:szCs w:val="24"/>
        </w:rPr>
        <w:t>, 2269–2282.</w:t>
      </w:r>
    </w:p>
    <w:p w14:paraId="0258A3DF"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5</w:t>
      </w:r>
      <w:r w:rsidRPr="00CF3D89">
        <w:rPr>
          <w:rFonts w:ascii="Calibri" w:hAnsi="Calibri" w:cs="Calibri"/>
          <w:noProof/>
          <w:sz w:val="18"/>
          <w:szCs w:val="24"/>
        </w:rPr>
        <w:tab/>
        <w:t xml:space="preserve">P. A. Hunt, B. Kirchner and T. Welton, </w:t>
      </w:r>
      <w:r w:rsidRPr="00CF3D89">
        <w:rPr>
          <w:rFonts w:ascii="Calibri" w:hAnsi="Calibri" w:cs="Calibri"/>
          <w:i/>
          <w:iCs/>
          <w:noProof/>
          <w:sz w:val="18"/>
          <w:szCs w:val="24"/>
        </w:rPr>
        <w:t>Chemistry</w:t>
      </w:r>
      <w:r w:rsidRPr="00CF3D89">
        <w:rPr>
          <w:rFonts w:ascii="Calibri" w:hAnsi="Calibri" w:cs="Calibri"/>
          <w:noProof/>
          <w:sz w:val="18"/>
          <w:szCs w:val="24"/>
        </w:rPr>
        <w:t xml:space="preserve">, 2006, </w:t>
      </w:r>
      <w:r w:rsidRPr="00CF3D89">
        <w:rPr>
          <w:rFonts w:ascii="Calibri" w:hAnsi="Calibri" w:cs="Calibri"/>
          <w:b/>
          <w:bCs/>
          <w:noProof/>
          <w:sz w:val="18"/>
          <w:szCs w:val="24"/>
        </w:rPr>
        <w:t>12</w:t>
      </w:r>
      <w:r w:rsidRPr="00CF3D89">
        <w:rPr>
          <w:rFonts w:ascii="Calibri" w:hAnsi="Calibri" w:cs="Calibri"/>
          <w:noProof/>
          <w:sz w:val="18"/>
          <w:szCs w:val="24"/>
        </w:rPr>
        <w:t>, 6762–6775.</w:t>
      </w:r>
    </w:p>
    <w:p w14:paraId="1D93654D"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6</w:t>
      </w:r>
      <w:r w:rsidRPr="00CF3D89">
        <w:rPr>
          <w:rFonts w:ascii="Calibri" w:hAnsi="Calibri" w:cs="Calibri"/>
          <w:noProof/>
          <w:sz w:val="18"/>
          <w:szCs w:val="24"/>
        </w:rPr>
        <w:tab/>
        <w:t xml:space="preserve">M. De Boeck, G. Damilano, W. Dehaen, J. Tytgat and E. Cuypers, </w:t>
      </w:r>
      <w:r w:rsidRPr="00CF3D89">
        <w:rPr>
          <w:rFonts w:ascii="Calibri" w:hAnsi="Calibri" w:cs="Calibri"/>
          <w:i/>
          <w:iCs/>
          <w:noProof/>
          <w:sz w:val="18"/>
          <w:szCs w:val="24"/>
        </w:rPr>
        <w:t>Talanta</w:t>
      </w:r>
      <w:r w:rsidRPr="00CF3D89">
        <w:rPr>
          <w:rFonts w:ascii="Calibri" w:hAnsi="Calibri" w:cs="Calibri"/>
          <w:noProof/>
          <w:sz w:val="18"/>
          <w:szCs w:val="24"/>
        </w:rPr>
        <w:t xml:space="preserve">, 2018, </w:t>
      </w:r>
      <w:r w:rsidRPr="00CF3D89">
        <w:rPr>
          <w:rFonts w:ascii="Calibri" w:hAnsi="Calibri" w:cs="Calibri"/>
          <w:b/>
          <w:bCs/>
          <w:noProof/>
          <w:sz w:val="18"/>
          <w:szCs w:val="24"/>
        </w:rPr>
        <w:t>184</w:t>
      </w:r>
      <w:r w:rsidRPr="00CF3D89">
        <w:rPr>
          <w:rFonts w:ascii="Calibri" w:hAnsi="Calibri" w:cs="Calibri"/>
          <w:noProof/>
          <w:sz w:val="18"/>
          <w:szCs w:val="24"/>
        </w:rPr>
        <w:t>, 369–374.</w:t>
      </w:r>
    </w:p>
    <w:p w14:paraId="3AA1F2CC"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7</w:t>
      </w:r>
      <w:r w:rsidRPr="00CF3D89">
        <w:rPr>
          <w:rFonts w:ascii="Calibri" w:hAnsi="Calibri" w:cs="Calibri"/>
          <w:noProof/>
          <w:sz w:val="18"/>
          <w:szCs w:val="24"/>
        </w:rPr>
        <w:tab/>
        <w:t xml:space="preserve">M. T. Clough, K. Geyer, P. A. Hunt, S. Son, U. Vagt and T. Welton, </w:t>
      </w:r>
      <w:r w:rsidRPr="00CF3D89">
        <w:rPr>
          <w:rFonts w:ascii="Calibri" w:hAnsi="Calibri" w:cs="Calibri"/>
          <w:i/>
          <w:iCs/>
          <w:noProof/>
          <w:sz w:val="18"/>
          <w:szCs w:val="24"/>
        </w:rPr>
        <w:t>Green Chem.</w:t>
      </w:r>
      <w:r w:rsidRPr="00CF3D89">
        <w:rPr>
          <w:rFonts w:ascii="Calibri" w:hAnsi="Calibri" w:cs="Calibri"/>
          <w:noProof/>
          <w:sz w:val="18"/>
          <w:szCs w:val="24"/>
        </w:rPr>
        <w:t xml:space="preserve">, 2015, </w:t>
      </w:r>
      <w:r w:rsidRPr="00CF3D89">
        <w:rPr>
          <w:rFonts w:ascii="Calibri" w:hAnsi="Calibri" w:cs="Calibri"/>
          <w:b/>
          <w:bCs/>
          <w:noProof/>
          <w:sz w:val="18"/>
          <w:szCs w:val="24"/>
        </w:rPr>
        <w:t>17</w:t>
      </w:r>
      <w:r w:rsidRPr="00CF3D89">
        <w:rPr>
          <w:rFonts w:ascii="Calibri" w:hAnsi="Calibri" w:cs="Calibri"/>
          <w:noProof/>
          <w:sz w:val="18"/>
          <w:szCs w:val="24"/>
        </w:rPr>
        <w:t>, 231–243.</w:t>
      </w:r>
    </w:p>
    <w:p w14:paraId="71EC52F3"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8</w:t>
      </w:r>
      <w:r w:rsidRPr="00CF3D89">
        <w:rPr>
          <w:rFonts w:ascii="Calibri" w:hAnsi="Calibri" w:cs="Calibri"/>
          <w:noProof/>
          <w:sz w:val="18"/>
          <w:szCs w:val="24"/>
        </w:rPr>
        <w:tab/>
        <w:t xml:space="preserve">J. P. Hallett and T. Welton, </w:t>
      </w:r>
      <w:r w:rsidRPr="00CF3D89">
        <w:rPr>
          <w:rFonts w:ascii="Calibri" w:hAnsi="Calibri" w:cs="Calibri"/>
          <w:i/>
          <w:iCs/>
          <w:noProof/>
          <w:sz w:val="18"/>
          <w:szCs w:val="24"/>
        </w:rPr>
        <w:t>Chem. Rev.</w:t>
      </w:r>
      <w:r w:rsidRPr="00CF3D89">
        <w:rPr>
          <w:rFonts w:ascii="Calibri" w:hAnsi="Calibri" w:cs="Calibri"/>
          <w:noProof/>
          <w:sz w:val="18"/>
          <w:szCs w:val="24"/>
        </w:rPr>
        <w:t xml:space="preserve">, 2011, </w:t>
      </w:r>
      <w:r w:rsidRPr="00CF3D89">
        <w:rPr>
          <w:rFonts w:ascii="Calibri" w:hAnsi="Calibri" w:cs="Calibri"/>
          <w:b/>
          <w:bCs/>
          <w:noProof/>
          <w:sz w:val="18"/>
          <w:szCs w:val="24"/>
        </w:rPr>
        <w:t>111</w:t>
      </w:r>
      <w:r w:rsidRPr="00CF3D89">
        <w:rPr>
          <w:rFonts w:ascii="Calibri" w:hAnsi="Calibri" w:cs="Calibri"/>
          <w:noProof/>
          <w:sz w:val="18"/>
          <w:szCs w:val="24"/>
        </w:rPr>
        <w:t>, 3508–3576.</w:t>
      </w:r>
    </w:p>
    <w:p w14:paraId="12372220"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9</w:t>
      </w:r>
      <w:r w:rsidRPr="00CF3D89">
        <w:rPr>
          <w:rFonts w:ascii="Calibri" w:hAnsi="Calibri" w:cs="Calibri"/>
          <w:noProof/>
          <w:sz w:val="18"/>
          <w:szCs w:val="24"/>
        </w:rPr>
        <w:tab/>
        <w:t xml:space="preserve">W. A. Herrmann and C. Köcher, </w:t>
      </w:r>
      <w:r w:rsidRPr="00CF3D89">
        <w:rPr>
          <w:rFonts w:ascii="Calibri" w:hAnsi="Calibri" w:cs="Calibri"/>
          <w:i/>
          <w:iCs/>
          <w:noProof/>
          <w:sz w:val="18"/>
          <w:szCs w:val="24"/>
        </w:rPr>
        <w:t>Angew. Chemie Int. Ed. English</w:t>
      </w:r>
      <w:r w:rsidRPr="00CF3D89">
        <w:rPr>
          <w:rFonts w:ascii="Calibri" w:hAnsi="Calibri" w:cs="Calibri"/>
          <w:noProof/>
          <w:sz w:val="18"/>
          <w:szCs w:val="24"/>
        </w:rPr>
        <w:t xml:space="preserve">, 1997, </w:t>
      </w:r>
      <w:r w:rsidRPr="00CF3D89">
        <w:rPr>
          <w:rFonts w:ascii="Calibri" w:hAnsi="Calibri" w:cs="Calibri"/>
          <w:b/>
          <w:bCs/>
          <w:noProof/>
          <w:sz w:val="18"/>
          <w:szCs w:val="24"/>
        </w:rPr>
        <w:t>36</w:t>
      </w:r>
      <w:r w:rsidRPr="00CF3D89">
        <w:rPr>
          <w:rFonts w:ascii="Calibri" w:hAnsi="Calibri" w:cs="Calibri"/>
          <w:noProof/>
          <w:sz w:val="18"/>
          <w:szCs w:val="24"/>
        </w:rPr>
        <w:t>, 2162–2187.</w:t>
      </w:r>
    </w:p>
    <w:p w14:paraId="6824E430"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10</w:t>
      </w:r>
      <w:r w:rsidRPr="00CF3D89">
        <w:rPr>
          <w:rFonts w:ascii="Calibri" w:hAnsi="Calibri" w:cs="Calibri"/>
          <w:noProof/>
          <w:sz w:val="18"/>
          <w:szCs w:val="24"/>
        </w:rPr>
        <w:tab/>
        <w:t xml:space="preserve">M. J. Earle, J. M. S. S. Esperança, M. A. Gilea, J. N. Canongia Lopes, L. P. N. Rebelo, J. W. Magee, K. R. Seddon and J. A. Widegren, </w:t>
      </w:r>
      <w:r w:rsidRPr="00CF3D89">
        <w:rPr>
          <w:rFonts w:ascii="Calibri" w:hAnsi="Calibri" w:cs="Calibri"/>
          <w:i/>
          <w:iCs/>
          <w:noProof/>
          <w:sz w:val="18"/>
          <w:szCs w:val="24"/>
        </w:rPr>
        <w:t>Nature</w:t>
      </w:r>
      <w:r w:rsidRPr="00CF3D89">
        <w:rPr>
          <w:rFonts w:ascii="Calibri" w:hAnsi="Calibri" w:cs="Calibri"/>
          <w:noProof/>
          <w:sz w:val="18"/>
          <w:szCs w:val="24"/>
        </w:rPr>
        <w:t xml:space="preserve">, 2006, </w:t>
      </w:r>
      <w:r w:rsidRPr="00CF3D89">
        <w:rPr>
          <w:rFonts w:ascii="Calibri" w:hAnsi="Calibri" w:cs="Calibri"/>
          <w:b/>
          <w:bCs/>
          <w:noProof/>
          <w:sz w:val="18"/>
          <w:szCs w:val="24"/>
        </w:rPr>
        <w:t>439</w:t>
      </w:r>
      <w:r w:rsidRPr="00CF3D89">
        <w:rPr>
          <w:rFonts w:ascii="Calibri" w:hAnsi="Calibri" w:cs="Calibri"/>
          <w:noProof/>
          <w:sz w:val="18"/>
          <w:szCs w:val="24"/>
        </w:rPr>
        <w:t>, 831–834.</w:t>
      </w:r>
    </w:p>
    <w:p w14:paraId="6A52F8FA"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11</w:t>
      </w:r>
      <w:r w:rsidRPr="00CF3D89">
        <w:rPr>
          <w:rFonts w:ascii="Calibri" w:hAnsi="Calibri" w:cs="Calibri"/>
          <w:noProof/>
          <w:sz w:val="18"/>
          <w:szCs w:val="24"/>
        </w:rPr>
        <w:tab/>
        <w:t xml:space="preserve">A. K. L. Yuen, A. F. Masters and T. Maschmeyer, </w:t>
      </w:r>
      <w:r w:rsidRPr="00CF3D89">
        <w:rPr>
          <w:rFonts w:ascii="Calibri" w:hAnsi="Calibri" w:cs="Calibri"/>
          <w:i/>
          <w:iCs/>
          <w:noProof/>
          <w:sz w:val="18"/>
          <w:szCs w:val="24"/>
        </w:rPr>
        <w:t>Catal. Today</w:t>
      </w:r>
      <w:r w:rsidRPr="00CF3D89">
        <w:rPr>
          <w:rFonts w:ascii="Calibri" w:hAnsi="Calibri" w:cs="Calibri"/>
          <w:noProof/>
          <w:sz w:val="18"/>
          <w:szCs w:val="24"/>
        </w:rPr>
        <w:t xml:space="preserve">, 2013, </w:t>
      </w:r>
      <w:r w:rsidRPr="00CF3D89">
        <w:rPr>
          <w:rFonts w:ascii="Calibri" w:hAnsi="Calibri" w:cs="Calibri"/>
          <w:b/>
          <w:bCs/>
          <w:noProof/>
          <w:sz w:val="18"/>
          <w:szCs w:val="24"/>
        </w:rPr>
        <w:t>200</w:t>
      </w:r>
      <w:r w:rsidRPr="00CF3D89">
        <w:rPr>
          <w:rFonts w:ascii="Calibri" w:hAnsi="Calibri" w:cs="Calibri"/>
          <w:noProof/>
          <w:sz w:val="18"/>
          <w:szCs w:val="24"/>
        </w:rPr>
        <w:t>, 9–16.</w:t>
      </w:r>
    </w:p>
    <w:p w14:paraId="0C266C1C"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12</w:t>
      </w:r>
      <w:r w:rsidRPr="00CF3D89">
        <w:rPr>
          <w:rFonts w:ascii="Calibri" w:hAnsi="Calibri" w:cs="Calibri"/>
          <w:noProof/>
          <w:sz w:val="18"/>
          <w:szCs w:val="24"/>
        </w:rPr>
        <w:tab/>
        <w:t xml:space="preserve">H. Kim, S. R. Byeon, M. G. D. Leed and J. Hong, </w:t>
      </w:r>
      <w:r w:rsidRPr="00CF3D89">
        <w:rPr>
          <w:rFonts w:ascii="Calibri" w:hAnsi="Calibri" w:cs="Calibri"/>
          <w:i/>
          <w:iCs/>
          <w:noProof/>
          <w:sz w:val="18"/>
          <w:szCs w:val="24"/>
        </w:rPr>
        <w:t>Tetrahedron Lett.</w:t>
      </w:r>
      <w:r w:rsidRPr="00CF3D89">
        <w:rPr>
          <w:rFonts w:ascii="Calibri" w:hAnsi="Calibri" w:cs="Calibri"/>
          <w:noProof/>
          <w:sz w:val="18"/>
          <w:szCs w:val="24"/>
        </w:rPr>
        <w:t xml:space="preserve">, 2011, </w:t>
      </w:r>
      <w:r w:rsidRPr="00CF3D89">
        <w:rPr>
          <w:rFonts w:ascii="Calibri" w:hAnsi="Calibri" w:cs="Calibri"/>
          <w:b/>
          <w:bCs/>
          <w:noProof/>
          <w:sz w:val="18"/>
          <w:szCs w:val="24"/>
        </w:rPr>
        <w:t>52</w:t>
      </w:r>
      <w:r w:rsidRPr="00CF3D89">
        <w:rPr>
          <w:rFonts w:ascii="Calibri" w:hAnsi="Calibri" w:cs="Calibri"/>
          <w:noProof/>
          <w:sz w:val="18"/>
          <w:szCs w:val="24"/>
        </w:rPr>
        <w:t>, 2468–2470.</w:t>
      </w:r>
    </w:p>
    <w:p w14:paraId="390E271E"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13</w:t>
      </w:r>
      <w:r w:rsidRPr="00CF3D89">
        <w:rPr>
          <w:rFonts w:ascii="Calibri" w:hAnsi="Calibri" w:cs="Calibri"/>
          <w:noProof/>
          <w:sz w:val="18"/>
          <w:szCs w:val="24"/>
        </w:rPr>
        <w:tab/>
        <w:t xml:space="preserve">E. Y. Chia, S. Naeem, L. Delaude, A. J. P. White and J. D. E. T. </w:t>
      </w:r>
      <w:r w:rsidRPr="00CF3D89">
        <w:rPr>
          <w:rFonts w:ascii="Calibri" w:hAnsi="Calibri" w:cs="Calibri"/>
          <w:noProof/>
          <w:sz w:val="18"/>
          <w:szCs w:val="24"/>
        </w:rPr>
        <w:t xml:space="preserve">Wilton-Ely, </w:t>
      </w:r>
      <w:r w:rsidRPr="00CF3D89">
        <w:rPr>
          <w:rFonts w:ascii="Calibri" w:hAnsi="Calibri" w:cs="Calibri"/>
          <w:i/>
          <w:iCs/>
          <w:noProof/>
          <w:sz w:val="18"/>
          <w:szCs w:val="24"/>
        </w:rPr>
        <w:t>Dalton Trans.</w:t>
      </w:r>
      <w:r w:rsidRPr="00CF3D89">
        <w:rPr>
          <w:rFonts w:ascii="Calibri" w:hAnsi="Calibri" w:cs="Calibri"/>
          <w:noProof/>
          <w:sz w:val="18"/>
          <w:szCs w:val="24"/>
        </w:rPr>
        <w:t xml:space="preserve">, 2011, </w:t>
      </w:r>
      <w:r w:rsidRPr="00CF3D89">
        <w:rPr>
          <w:rFonts w:ascii="Calibri" w:hAnsi="Calibri" w:cs="Calibri"/>
          <w:b/>
          <w:bCs/>
          <w:noProof/>
          <w:sz w:val="18"/>
          <w:szCs w:val="24"/>
        </w:rPr>
        <w:t>40</w:t>
      </w:r>
      <w:r w:rsidRPr="00CF3D89">
        <w:rPr>
          <w:rFonts w:ascii="Calibri" w:hAnsi="Calibri" w:cs="Calibri"/>
          <w:noProof/>
          <w:sz w:val="18"/>
          <w:szCs w:val="24"/>
        </w:rPr>
        <w:t>, 6645–58.</w:t>
      </w:r>
    </w:p>
    <w:p w14:paraId="6EFF8588"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14</w:t>
      </w:r>
      <w:r w:rsidRPr="00CF3D89">
        <w:rPr>
          <w:rFonts w:ascii="Calibri" w:hAnsi="Calibri" w:cs="Calibri"/>
          <w:noProof/>
          <w:sz w:val="18"/>
          <w:szCs w:val="24"/>
        </w:rPr>
        <w:tab/>
        <w:t xml:space="preserve">S. Naeem, L. Delaude, A. J. P. White and J. D. E. T. Wilton-Ely, </w:t>
      </w:r>
      <w:r w:rsidRPr="00CF3D89">
        <w:rPr>
          <w:rFonts w:ascii="Calibri" w:hAnsi="Calibri" w:cs="Calibri"/>
          <w:i/>
          <w:iCs/>
          <w:noProof/>
          <w:sz w:val="18"/>
          <w:szCs w:val="24"/>
        </w:rPr>
        <w:t>Inorg. Chem.</w:t>
      </w:r>
      <w:r w:rsidRPr="00CF3D89">
        <w:rPr>
          <w:rFonts w:ascii="Calibri" w:hAnsi="Calibri" w:cs="Calibri"/>
          <w:noProof/>
          <w:sz w:val="18"/>
          <w:szCs w:val="24"/>
        </w:rPr>
        <w:t xml:space="preserve">, 2010, </w:t>
      </w:r>
      <w:r w:rsidRPr="00CF3D89">
        <w:rPr>
          <w:rFonts w:ascii="Calibri" w:hAnsi="Calibri" w:cs="Calibri"/>
          <w:b/>
          <w:bCs/>
          <w:noProof/>
          <w:sz w:val="18"/>
          <w:szCs w:val="24"/>
        </w:rPr>
        <w:t>49</w:t>
      </w:r>
      <w:r w:rsidRPr="00CF3D89">
        <w:rPr>
          <w:rFonts w:ascii="Calibri" w:hAnsi="Calibri" w:cs="Calibri"/>
          <w:noProof/>
          <w:sz w:val="18"/>
          <w:szCs w:val="24"/>
        </w:rPr>
        <w:t>, 1784–93.</w:t>
      </w:r>
    </w:p>
    <w:p w14:paraId="5BB2B83A"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15</w:t>
      </w:r>
      <w:r w:rsidRPr="00CF3D89">
        <w:rPr>
          <w:rFonts w:ascii="Calibri" w:hAnsi="Calibri" w:cs="Calibri"/>
          <w:noProof/>
          <w:sz w:val="18"/>
          <w:szCs w:val="24"/>
        </w:rPr>
        <w:tab/>
        <w:t>Nolan, Steven P., WO2008036084A1, 2008.</w:t>
      </w:r>
    </w:p>
    <w:p w14:paraId="725272CB"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16</w:t>
      </w:r>
      <w:r w:rsidRPr="00CF3D89">
        <w:rPr>
          <w:rFonts w:ascii="Calibri" w:hAnsi="Calibri" w:cs="Calibri"/>
          <w:noProof/>
          <w:sz w:val="18"/>
          <w:szCs w:val="24"/>
        </w:rPr>
        <w:tab/>
        <w:t>Arduengo, Anthony J. III, US5077414, 1991.</w:t>
      </w:r>
    </w:p>
    <w:p w14:paraId="600ABAE6"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0B50FA">
        <w:rPr>
          <w:rFonts w:ascii="Calibri" w:hAnsi="Calibri" w:cs="Calibri"/>
          <w:noProof/>
          <w:sz w:val="18"/>
          <w:szCs w:val="24"/>
          <w:lang w:val="nl-BE"/>
        </w:rPr>
        <w:t>17</w:t>
      </w:r>
      <w:r w:rsidRPr="000B50FA">
        <w:rPr>
          <w:rFonts w:ascii="Calibri" w:hAnsi="Calibri" w:cs="Calibri"/>
          <w:noProof/>
          <w:sz w:val="18"/>
          <w:szCs w:val="24"/>
          <w:lang w:val="nl-BE"/>
        </w:rPr>
        <w:tab/>
        <w:t xml:space="preserve">D. Depuydt, A. Van den Bossche, W. Dehaen and K. Binnemans, </w:t>
      </w:r>
      <w:r w:rsidRPr="000B50FA">
        <w:rPr>
          <w:rFonts w:ascii="Calibri" w:hAnsi="Calibri" w:cs="Calibri"/>
          <w:i/>
          <w:iCs/>
          <w:noProof/>
          <w:sz w:val="18"/>
          <w:szCs w:val="24"/>
          <w:lang w:val="nl-BE"/>
        </w:rPr>
        <w:t>RSC Adv.</w:t>
      </w:r>
      <w:r w:rsidRPr="000B50FA">
        <w:rPr>
          <w:rFonts w:ascii="Calibri" w:hAnsi="Calibri" w:cs="Calibri"/>
          <w:noProof/>
          <w:sz w:val="18"/>
          <w:szCs w:val="24"/>
          <w:lang w:val="nl-BE"/>
        </w:rPr>
        <w:t xml:space="preserve">, 2016, </w:t>
      </w:r>
      <w:r w:rsidRPr="000B50FA">
        <w:rPr>
          <w:rFonts w:ascii="Calibri" w:hAnsi="Calibri" w:cs="Calibri"/>
          <w:b/>
          <w:bCs/>
          <w:noProof/>
          <w:sz w:val="18"/>
          <w:szCs w:val="24"/>
          <w:lang w:val="nl-BE"/>
        </w:rPr>
        <w:t>6</w:t>
      </w:r>
      <w:r w:rsidRPr="000B50FA">
        <w:rPr>
          <w:rFonts w:ascii="Calibri" w:hAnsi="Calibri" w:cs="Calibri"/>
          <w:noProof/>
          <w:sz w:val="18"/>
          <w:szCs w:val="24"/>
          <w:lang w:val="nl-BE"/>
        </w:rPr>
        <w:t>, 8848–8859.</w:t>
      </w:r>
    </w:p>
    <w:p w14:paraId="16B0EBCA"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18</w:t>
      </w:r>
      <w:r w:rsidRPr="00CF3D89">
        <w:rPr>
          <w:rFonts w:ascii="Calibri" w:hAnsi="Calibri" w:cs="Calibri"/>
          <w:noProof/>
          <w:sz w:val="18"/>
          <w:szCs w:val="24"/>
        </w:rPr>
        <w:tab/>
        <w:t xml:space="preserve">J. Zimmermann, B. Ondruschka and A. Stark, </w:t>
      </w:r>
      <w:r w:rsidRPr="00CF3D89">
        <w:rPr>
          <w:rFonts w:ascii="Calibri" w:hAnsi="Calibri" w:cs="Calibri"/>
          <w:i/>
          <w:iCs/>
          <w:noProof/>
          <w:sz w:val="18"/>
          <w:szCs w:val="24"/>
        </w:rPr>
        <w:t>Org. Process Res. Dev.</w:t>
      </w:r>
      <w:r w:rsidRPr="00CF3D89">
        <w:rPr>
          <w:rFonts w:ascii="Calibri" w:hAnsi="Calibri" w:cs="Calibri"/>
          <w:noProof/>
          <w:sz w:val="18"/>
          <w:szCs w:val="24"/>
        </w:rPr>
        <w:t xml:space="preserve">, 2010, </w:t>
      </w:r>
      <w:r w:rsidRPr="00CF3D89">
        <w:rPr>
          <w:rFonts w:ascii="Calibri" w:hAnsi="Calibri" w:cs="Calibri"/>
          <w:b/>
          <w:bCs/>
          <w:noProof/>
          <w:sz w:val="18"/>
          <w:szCs w:val="24"/>
        </w:rPr>
        <w:t>14</w:t>
      </w:r>
      <w:r w:rsidRPr="00CF3D89">
        <w:rPr>
          <w:rFonts w:ascii="Calibri" w:hAnsi="Calibri" w:cs="Calibri"/>
          <w:noProof/>
          <w:sz w:val="18"/>
          <w:szCs w:val="24"/>
        </w:rPr>
        <w:t>, 1102–1109.</w:t>
      </w:r>
    </w:p>
    <w:p w14:paraId="1C525CE2"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19</w:t>
      </w:r>
      <w:r w:rsidRPr="00CF3D89">
        <w:rPr>
          <w:rFonts w:ascii="Calibri" w:hAnsi="Calibri" w:cs="Calibri"/>
          <w:noProof/>
          <w:sz w:val="18"/>
          <w:szCs w:val="24"/>
        </w:rPr>
        <w:tab/>
        <w:t xml:space="preserve">R. S. Kalb, M. Damm and S. P. Verevkin, </w:t>
      </w:r>
      <w:r w:rsidRPr="00CF3D89">
        <w:rPr>
          <w:rFonts w:ascii="Calibri" w:hAnsi="Calibri" w:cs="Calibri"/>
          <w:i/>
          <w:iCs/>
          <w:noProof/>
          <w:sz w:val="18"/>
          <w:szCs w:val="24"/>
        </w:rPr>
        <w:t>React. Chem. Eng.</w:t>
      </w:r>
      <w:r w:rsidRPr="00CF3D89">
        <w:rPr>
          <w:rFonts w:ascii="Calibri" w:hAnsi="Calibri" w:cs="Calibri"/>
          <w:noProof/>
          <w:sz w:val="18"/>
          <w:szCs w:val="24"/>
        </w:rPr>
        <w:t xml:space="preserve">, 2017, </w:t>
      </w:r>
      <w:r w:rsidRPr="00CF3D89">
        <w:rPr>
          <w:rFonts w:ascii="Calibri" w:hAnsi="Calibri" w:cs="Calibri"/>
          <w:b/>
          <w:bCs/>
          <w:noProof/>
          <w:sz w:val="18"/>
          <w:szCs w:val="24"/>
        </w:rPr>
        <w:t>2</w:t>
      </w:r>
      <w:r w:rsidRPr="00CF3D89">
        <w:rPr>
          <w:rFonts w:ascii="Calibri" w:hAnsi="Calibri" w:cs="Calibri"/>
          <w:noProof/>
          <w:sz w:val="18"/>
          <w:szCs w:val="24"/>
        </w:rPr>
        <w:t>, 432–436.</w:t>
      </w:r>
    </w:p>
    <w:p w14:paraId="1EC1FBEE"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20</w:t>
      </w:r>
      <w:r w:rsidRPr="00CF3D89">
        <w:rPr>
          <w:rFonts w:ascii="Calibri" w:hAnsi="Calibri" w:cs="Calibri"/>
          <w:noProof/>
          <w:sz w:val="18"/>
          <w:szCs w:val="24"/>
        </w:rPr>
        <w:tab/>
        <w:t xml:space="preserve">R. S. Kalb, E. N. Stepurko, V. N. Emel’yanenko and S. P. Verevkin, </w:t>
      </w:r>
      <w:r w:rsidRPr="00CF3D89">
        <w:rPr>
          <w:rFonts w:ascii="Calibri" w:hAnsi="Calibri" w:cs="Calibri"/>
          <w:i/>
          <w:iCs/>
          <w:noProof/>
          <w:sz w:val="18"/>
          <w:szCs w:val="24"/>
        </w:rPr>
        <w:t>Phys. Chem. Chem. Phys.</w:t>
      </w:r>
      <w:r w:rsidRPr="00CF3D89">
        <w:rPr>
          <w:rFonts w:ascii="Calibri" w:hAnsi="Calibri" w:cs="Calibri"/>
          <w:noProof/>
          <w:sz w:val="18"/>
          <w:szCs w:val="24"/>
        </w:rPr>
        <w:t xml:space="preserve">, 2016, </w:t>
      </w:r>
      <w:r w:rsidRPr="00CF3D89">
        <w:rPr>
          <w:rFonts w:ascii="Calibri" w:hAnsi="Calibri" w:cs="Calibri"/>
          <w:b/>
          <w:bCs/>
          <w:noProof/>
          <w:sz w:val="18"/>
          <w:szCs w:val="24"/>
        </w:rPr>
        <w:t>18</w:t>
      </w:r>
      <w:r w:rsidRPr="00CF3D89">
        <w:rPr>
          <w:rFonts w:ascii="Calibri" w:hAnsi="Calibri" w:cs="Calibri"/>
          <w:noProof/>
          <w:sz w:val="18"/>
          <w:szCs w:val="24"/>
        </w:rPr>
        <w:t>, 31904–31913.</w:t>
      </w:r>
    </w:p>
    <w:p w14:paraId="12EAAB49"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21</w:t>
      </w:r>
      <w:r w:rsidRPr="00CF3D89">
        <w:rPr>
          <w:rFonts w:ascii="Calibri" w:hAnsi="Calibri" w:cs="Calibri"/>
          <w:noProof/>
          <w:sz w:val="18"/>
          <w:szCs w:val="24"/>
        </w:rPr>
        <w:tab/>
        <w:t xml:space="preserve">S. Kirchhecker, S. Tröger-Müller, S. Bake, M. Antonietti, A. Taubert and D. Esposito, </w:t>
      </w:r>
      <w:r w:rsidRPr="00CF3D89">
        <w:rPr>
          <w:rFonts w:ascii="Calibri" w:hAnsi="Calibri" w:cs="Calibri"/>
          <w:i/>
          <w:iCs/>
          <w:noProof/>
          <w:sz w:val="18"/>
          <w:szCs w:val="24"/>
        </w:rPr>
        <w:t>Green Chem.</w:t>
      </w:r>
      <w:r w:rsidRPr="00CF3D89">
        <w:rPr>
          <w:rFonts w:ascii="Calibri" w:hAnsi="Calibri" w:cs="Calibri"/>
          <w:noProof/>
          <w:sz w:val="18"/>
          <w:szCs w:val="24"/>
        </w:rPr>
        <w:t xml:space="preserve">, 2015, </w:t>
      </w:r>
      <w:r w:rsidRPr="00CF3D89">
        <w:rPr>
          <w:rFonts w:ascii="Calibri" w:hAnsi="Calibri" w:cs="Calibri"/>
          <w:b/>
          <w:bCs/>
          <w:noProof/>
          <w:sz w:val="18"/>
          <w:szCs w:val="24"/>
        </w:rPr>
        <w:t>17</w:t>
      </w:r>
      <w:r w:rsidRPr="00CF3D89">
        <w:rPr>
          <w:rFonts w:ascii="Calibri" w:hAnsi="Calibri" w:cs="Calibri"/>
          <w:noProof/>
          <w:sz w:val="18"/>
          <w:szCs w:val="24"/>
        </w:rPr>
        <w:t>, 4151–4156.</w:t>
      </w:r>
    </w:p>
    <w:p w14:paraId="4FB9D07B"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22</w:t>
      </w:r>
      <w:r w:rsidRPr="00CF3D89">
        <w:rPr>
          <w:rFonts w:ascii="Calibri" w:hAnsi="Calibri" w:cs="Calibri"/>
          <w:noProof/>
          <w:sz w:val="18"/>
          <w:szCs w:val="24"/>
        </w:rPr>
        <w:tab/>
        <w:t xml:space="preserve">N. J. Bridges, C. C. Hines, M. Smiglak and R. D. Rogers, </w:t>
      </w:r>
      <w:r w:rsidRPr="00CF3D89">
        <w:rPr>
          <w:rFonts w:ascii="Calibri" w:hAnsi="Calibri" w:cs="Calibri"/>
          <w:i/>
          <w:iCs/>
          <w:noProof/>
          <w:sz w:val="18"/>
          <w:szCs w:val="24"/>
        </w:rPr>
        <w:t>Chem. Eur. J.</w:t>
      </w:r>
      <w:r w:rsidRPr="00CF3D89">
        <w:rPr>
          <w:rFonts w:ascii="Calibri" w:hAnsi="Calibri" w:cs="Calibri"/>
          <w:noProof/>
          <w:sz w:val="18"/>
          <w:szCs w:val="24"/>
        </w:rPr>
        <w:t xml:space="preserve">, 2007, </w:t>
      </w:r>
      <w:r w:rsidRPr="00CF3D89">
        <w:rPr>
          <w:rFonts w:ascii="Calibri" w:hAnsi="Calibri" w:cs="Calibri"/>
          <w:b/>
          <w:bCs/>
          <w:noProof/>
          <w:sz w:val="18"/>
          <w:szCs w:val="24"/>
        </w:rPr>
        <w:t>13</w:t>
      </w:r>
      <w:r w:rsidRPr="00CF3D89">
        <w:rPr>
          <w:rFonts w:ascii="Calibri" w:hAnsi="Calibri" w:cs="Calibri"/>
          <w:noProof/>
          <w:sz w:val="18"/>
          <w:szCs w:val="24"/>
        </w:rPr>
        <w:t>, 5207–5212.</w:t>
      </w:r>
    </w:p>
    <w:p w14:paraId="267FEB08"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23</w:t>
      </w:r>
      <w:r w:rsidRPr="00CF3D89">
        <w:rPr>
          <w:rFonts w:ascii="Calibri" w:hAnsi="Calibri" w:cs="Calibri"/>
          <w:noProof/>
          <w:sz w:val="18"/>
          <w:szCs w:val="24"/>
        </w:rPr>
        <w:tab/>
        <w:t xml:space="preserve">S. Raiguel, J. Thomas, K. Binnemans and W. Dehaen, </w:t>
      </w:r>
      <w:r w:rsidRPr="00CF3D89">
        <w:rPr>
          <w:rFonts w:ascii="Calibri" w:hAnsi="Calibri" w:cs="Calibri"/>
          <w:i/>
          <w:iCs/>
          <w:noProof/>
          <w:sz w:val="18"/>
          <w:szCs w:val="24"/>
        </w:rPr>
        <w:t>Eur. J. Org. Chem.</w:t>
      </w:r>
      <w:r w:rsidRPr="00CF3D89">
        <w:rPr>
          <w:rFonts w:ascii="Calibri" w:hAnsi="Calibri" w:cs="Calibri"/>
          <w:noProof/>
          <w:sz w:val="18"/>
          <w:szCs w:val="24"/>
        </w:rPr>
        <w:t xml:space="preserve">, 2018, </w:t>
      </w:r>
      <w:r w:rsidRPr="00CF3D89">
        <w:rPr>
          <w:rFonts w:ascii="Calibri" w:hAnsi="Calibri" w:cs="Calibri"/>
          <w:b/>
          <w:bCs/>
          <w:noProof/>
          <w:sz w:val="18"/>
          <w:szCs w:val="24"/>
        </w:rPr>
        <w:t>2018</w:t>
      </w:r>
      <w:r w:rsidRPr="00CF3D89">
        <w:rPr>
          <w:rFonts w:ascii="Calibri" w:hAnsi="Calibri" w:cs="Calibri"/>
          <w:noProof/>
          <w:sz w:val="18"/>
          <w:szCs w:val="24"/>
        </w:rPr>
        <w:t>, 4850–4856.</w:t>
      </w:r>
    </w:p>
    <w:p w14:paraId="14685E69"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24</w:t>
      </w:r>
      <w:r w:rsidRPr="00CF3D89">
        <w:rPr>
          <w:rFonts w:ascii="Calibri" w:hAnsi="Calibri" w:cs="Calibri"/>
          <w:noProof/>
          <w:sz w:val="18"/>
          <w:szCs w:val="24"/>
        </w:rPr>
        <w:tab/>
        <w:t xml:space="preserve">G. Damilano, K. Binnemans and W. Dehaen, </w:t>
      </w:r>
      <w:r w:rsidRPr="00CF3D89">
        <w:rPr>
          <w:rFonts w:ascii="Calibri" w:hAnsi="Calibri" w:cs="Calibri"/>
          <w:i/>
          <w:iCs/>
          <w:noProof/>
          <w:sz w:val="18"/>
          <w:szCs w:val="24"/>
        </w:rPr>
        <w:t>Org. Biomol. Chem.</w:t>
      </w:r>
      <w:r w:rsidRPr="00CF3D89">
        <w:rPr>
          <w:rFonts w:ascii="Calibri" w:hAnsi="Calibri" w:cs="Calibri"/>
          <w:noProof/>
          <w:sz w:val="18"/>
          <w:szCs w:val="24"/>
        </w:rPr>
        <w:t xml:space="preserve">, 2019, </w:t>
      </w:r>
      <w:r w:rsidRPr="00CF3D89">
        <w:rPr>
          <w:rFonts w:ascii="Calibri" w:hAnsi="Calibri" w:cs="Calibri"/>
          <w:b/>
          <w:bCs/>
          <w:noProof/>
          <w:sz w:val="18"/>
          <w:szCs w:val="24"/>
        </w:rPr>
        <w:t>17</w:t>
      </w:r>
      <w:r w:rsidRPr="00CF3D89">
        <w:rPr>
          <w:rFonts w:ascii="Calibri" w:hAnsi="Calibri" w:cs="Calibri"/>
          <w:noProof/>
          <w:sz w:val="18"/>
          <w:szCs w:val="24"/>
        </w:rPr>
        <w:t>, 9778–9791.</w:t>
      </w:r>
    </w:p>
    <w:p w14:paraId="02FAA715"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25</w:t>
      </w:r>
      <w:r w:rsidRPr="00CF3D89">
        <w:rPr>
          <w:rFonts w:ascii="Calibri" w:hAnsi="Calibri" w:cs="Calibri"/>
          <w:noProof/>
          <w:sz w:val="18"/>
          <w:szCs w:val="24"/>
        </w:rPr>
        <w:tab/>
        <w:t xml:space="preserve">P. Wasserscheid and T. Welton, </w:t>
      </w:r>
      <w:r w:rsidRPr="00CF3D89">
        <w:rPr>
          <w:rFonts w:ascii="Calibri" w:hAnsi="Calibri" w:cs="Calibri"/>
          <w:i/>
          <w:iCs/>
          <w:noProof/>
          <w:sz w:val="18"/>
          <w:szCs w:val="24"/>
        </w:rPr>
        <w:t>Ionic liquids in synthesis</w:t>
      </w:r>
      <w:r w:rsidRPr="00CF3D89">
        <w:rPr>
          <w:rFonts w:ascii="Calibri" w:hAnsi="Calibri" w:cs="Calibri"/>
          <w:noProof/>
          <w:sz w:val="18"/>
          <w:szCs w:val="24"/>
        </w:rPr>
        <w:t>, Wiley-VCH Verlag GmbH &amp; Co. KGaA, Weinheim, Germany, 2008.</w:t>
      </w:r>
    </w:p>
    <w:p w14:paraId="64E8884C"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26</w:t>
      </w:r>
      <w:r w:rsidRPr="00CF3D89">
        <w:rPr>
          <w:rFonts w:ascii="Calibri" w:hAnsi="Calibri" w:cs="Calibri"/>
          <w:noProof/>
          <w:sz w:val="18"/>
          <w:szCs w:val="24"/>
        </w:rPr>
        <w:tab/>
        <w:t>Arduengo, Anthony J., US6177575, 2007.</w:t>
      </w:r>
    </w:p>
    <w:p w14:paraId="47C1CA3E"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CF3D89">
        <w:rPr>
          <w:rFonts w:ascii="Calibri" w:hAnsi="Calibri" w:cs="Calibri"/>
          <w:noProof/>
          <w:sz w:val="18"/>
          <w:szCs w:val="24"/>
        </w:rPr>
        <w:t>27</w:t>
      </w:r>
      <w:r w:rsidRPr="00CF3D89">
        <w:rPr>
          <w:rFonts w:ascii="Calibri" w:hAnsi="Calibri" w:cs="Calibri"/>
          <w:noProof/>
          <w:sz w:val="18"/>
          <w:szCs w:val="24"/>
        </w:rPr>
        <w:tab/>
        <w:t xml:space="preserve">M. R. Grimmett, in </w:t>
      </w:r>
      <w:r w:rsidRPr="00CF3D89">
        <w:rPr>
          <w:rFonts w:ascii="Calibri" w:hAnsi="Calibri" w:cs="Calibri"/>
          <w:i/>
          <w:iCs/>
          <w:noProof/>
          <w:sz w:val="18"/>
          <w:szCs w:val="24"/>
        </w:rPr>
        <w:t>Category 2, Hetarenes and Related Ring Systems</w:t>
      </w:r>
      <w:r w:rsidRPr="00CF3D89">
        <w:rPr>
          <w:rFonts w:ascii="Calibri" w:hAnsi="Calibri" w:cs="Calibri"/>
          <w:noProof/>
          <w:sz w:val="18"/>
          <w:szCs w:val="24"/>
        </w:rPr>
        <w:t xml:space="preserve">, eds. </w:t>
      </w:r>
      <w:r w:rsidRPr="000B50FA">
        <w:rPr>
          <w:rFonts w:ascii="Calibri" w:hAnsi="Calibri" w:cs="Calibri"/>
          <w:noProof/>
          <w:sz w:val="18"/>
          <w:szCs w:val="24"/>
          <w:lang w:val="nl-BE"/>
        </w:rPr>
        <w:t>Neier and Bellus, Georg Thieme Verlag, Stuttgart, 2002.</w:t>
      </w:r>
    </w:p>
    <w:p w14:paraId="707875F3"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0B50FA">
        <w:rPr>
          <w:rFonts w:ascii="Calibri" w:hAnsi="Calibri" w:cs="Calibri"/>
          <w:noProof/>
          <w:sz w:val="18"/>
          <w:szCs w:val="24"/>
          <w:lang w:val="nl-BE"/>
        </w:rPr>
        <w:t>28</w:t>
      </w:r>
      <w:r w:rsidRPr="000B50FA">
        <w:rPr>
          <w:rFonts w:ascii="Calibri" w:hAnsi="Calibri" w:cs="Calibri"/>
          <w:noProof/>
          <w:sz w:val="18"/>
          <w:szCs w:val="24"/>
          <w:lang w:val="nl-BE"/>
        </w:rPr>
        <w:tab/>
        <w:t xml:space="preserve">B. Radzisewski, </w:t>
      </w:r>
      <w:r w:rsidRPr="000B50FA">
        <w:rPr>
          <w:rFonts w:ascii="Calibri" w:hAnsi="Calibri" w:cs="Calibri"/>
          <w:i/>
          <w:iCs/>
          <w:noProof/>
          <w:sz w:val="18"/>
          <w:szCs w:val="24"/>
          <w:lang w:val="nl-BE"/>
        </w:rPr>
        <w:t>Berichte der Dtsch. Chem. Gesellschaft</w:t>
      </w:r>
      <w:r w:rsidRPr="000B50FA">
        <w:rPr>
          <w:rFonts w:ascii="Calibri" w:hAnsi="Calibri" w:cs="Calibri"/>
          <w:noProof/>
          <w:sz w:val="18"/>
          <w:szCs w:val="24"/>
          <w:lang w:val="nl-BE"/>
        </w:rPr>
        <w:t xml:space="preserve">, 1882, </w:t>
      </w:r>
      <w:r w:rsidRPr="000B50FA">
        <w:rPr>
          <w:rFonts w:ascii="Calibri" w:hAnsi="Calibri" w:cs="Calibri"/>
          <w:b/>
          <w:bCs/>
          <w:noProof/>
          <w:sz w:val="18"/>
          <w:szCs w:val="24"/>
          <w:lang w:val="nl-BE"/>
        </w:rPr>
        <w:t>15</w:t>
      </w:r>
      <w:r w:rsidRPr="000B50FA">
        <w:rPr>
          <w:rFonts w:ascii="Calibri" w:hAnsi="Calibri" w:cs="Calibri"/>
          <w:noProof/>
          <w:sz w:val="18"/>
          <w:szCs w:val="24"/>
          <w:lang w:val="nl-BE"/>
        </w:rPr>
        <w:t>, 2706–2708.</w:t>
      </w:r>
    </w:p>
    <w:p w14:paraId="5851EBC7"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0B50FA">
        <w:rPr>
          <w:rFonts w:ascii="Calibri" w:hAnsi="Calibri" w:cs="Calibri"/>
          <w:noProof/>
          <w:sz w:val="18"/>
          <w:szCs w:val="24"/>
          <w:lang w:val="nl-BE"/>
        </w:rPr>
        <w:t>29</w:t>
      </w:r>
      <w:r w:rsidRPr="000B50FA">
        <w:rPr>
          <w:rFonts w:ascii="Calibri" w:hAnsi="Calibri" w:cs="Calibri"/>
          <w:noProof/>
          <w:sz w:val="18"/>
          <w:szCs w:val="24"/>
          <w:lang w:val="nl-BE"/>
        </w:rPr>
        <w:tab/>
        <w:t xml:space="preserve">B. Radziszewski, </w:t>
      </w:r>
      <w:r w:rsidRPr="000B50FA">
        <w:rPr>
          <w:rFonts w:ascii="Calibri" w:hAnsi="Calibri" w:cs="Calibri"/>
          <w:i/>
          <w:iCs/>
          <w:noProof/>
          <w:sz w:val="18"/>
          <w:szCs w:val="24"/>
          <w:lang w:val="nl-BE"/>
        </w:rPr>
        <w:t>Berichte der Dtsch. Chem. Gesellschaft</w:t>
      </w:r>
      <w:r w:rsidRPr="000B50FA">
        <w:rPr>
          <w:rFonts w:ascii="Calibri" w:hAnsi="Calibri" w:cs="Calibri"/>
          <w:noProof/>
          <w:sz w:val="18"/>
          <w:szCs w:val="24"/>
          <w:lang w:val="nl-BE"/>
        </w:rPr>
        <w:t xml:space="preserve">, 1882, </w:t>
      </w:r>
      <w:r w:rsidRPr="000B50FA">
        <w:rPr>
          <w:rFonts w:ascii="Calibri" w:hAnsi="Calibri" w:cs="Calibri"/>
          <w:b/>
          <w:bCs/>
          <w:noProof/>
          <w:sz w:val="18"/>
          <w:szCs w:val="24"/>
          <w:lang w:val="nl-BE"/>
        </w:rPr>
        <w:t>15</w:t>
      </w:r>
      <w:r w:rsidRPr="000B50FA">
        <w:rPr>
          <w:rFonts w:ascii="Calibri" w:hAnsi="Calibri" w:cs="Calibri"/>
          <w:noProof/>
          <w:sz w:val="18"/>
          <w:szCs w:val="24"/>
          <w:lang w:val="nl-BE"/>
        </w:rPr>
        <w:t>, 1493–1496.</w:t>
      </w:r>
    </w:p>
    <w:p w14:paraId="59CF1EE9"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0B50FA">
        <w:rPr>
          <w:rFonts w:ascii="Calibri" w:hAnsi="Calibri" w:cs="Calibri"/>
          <w:noProof/>
          <w:sz w:val="18"/>
          <w:szCs w:val="24"/>
          <w:lang w:val="nl-BE"/>
        </w:rPr>
        <w:t>30</w:t>
      </w:r>
      <w:r w:rsidRPr="000B50FA">
        <w:rPr>
          <w:rFonts w:ascii="Calibri" w:hAnsi="Calibri" w:cs="Calibri"/>
          <w:noProof/>
          <w:sz w:val="18"/>
          <w:szCs w:val="24"/>
          <w:lang w:val="nl-BE"/>
        </w:rPr>
        <w:tab/>
        <w:t xml:space="preserve">H. Debus, </w:t>
      </w:r>
      <w:r w:rsidRPr="000B50FA">
        <w:rPr>
          <w:rFonts w:ascii="Calibri" w:hAnsi="Calibri" w:cs="Calibri"/>
          <w:i/>
          <w:iCs/>
          <w:noProof/>
          <w:sz w:val="18"/>
          <w:szCs w:val="24"/>
          <w:lang w:val="nl-BE"/>
        </w:rPr>
        <w:t>Liebigs Ann.</w:t>
      </w:r>
      <w:r w:rsidRPr="000B50FA">
        <w:rPr>
          <w:rFonts w:ascii="Calibri" w:hAnsi="Calibri" w:cs="Calibri"/>
          <w:noProof/>
          <w:sz w:val="18"/>
          <w:szCs w:val="24"/>
          <w:lang w:val="nl-BE"/>
        </w:rPr>
        <w:t xml:space="preserve">, 1858, </w:t>
      </w:r>
      <w:r w:rsidRPr="000B50FA">
        <w:rPr>
          <w:rFonts w:ascii="Calibri" w:hAnsi="Calibri" w:cs="Calibri"/>
          <w:b/>
          <w:bCs/>
          <w:noProof/>
          <w:sz w:val="18"/>
          <w:szCs w:val="24"/>
          <w:lang w:val="nl-BE"/>
        </w:rPr>
        <w:t>107</w:t>
      </w:r>
      <w:r w:rsidRPr="000B50FA">
        <w:rPr>
          <w:rFonts w:ascii="Calibri" w:hAnsi="Calibri" w:cs="Calibri"/>
          <w:noProof/>
          <w:sz w:val="18"/>
          <w:szCs w:val="24"/>
          <w:lang w:val="nl-BE"/>
        </w:rPr>
        <w:t>, 199–208.</w:t>
      </w:r>
    </w:p>
    <w:p w14:paraId="79E1C6E1"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0B50FA">
        <w:rPr>
          <w:rFonts w:ascii="Calibri" w:hAnsi="Calibri" w:cs="Calibri"/>
          <w:noProof/>
          <w:sz w:val="18"/>
          <w:szCs w:val="24"/>
          <w:lang w:val="nl-BE"/>
        </w:rPr>
        <w:t>31</w:t>
      </w:r>
      <w:r w:rsidRPr="000B50FA">
        <w:rPr>
          <w:rFonts w:ascii="Calibri" w:hAnsi="Calibri" w:cs="Calibri"/>
          <w:noProof/>
          <w:sz w:val="18"/>
          <w:szCs w:val="24"/>
          <w:lang w:val="nl-BE"/>
        </w:rPr>
        <w:tab/>
        <w:t xml:space="preserve">E. Gelens, F. J. J. De Kanter, R. F. Schmitz, L. A. J. M. Sliedregt, B. J. Van Steen, C. G. Kruse, R. Leurs, M. B. Groen and R. V. A. Orru, </w:t>
      </w:r>
      <w:r w:rsidRPr="000B50FA">
        <w:rPr>
          <w:rFonts w:ascii="Calibri" w:hAnsi="Calibri" w:cs="Calibri"/>
          <w:i/>
          <w:iCs/>
          <w:noProof/>
          <w:sz w:val="18"/>
          <w:szCs w:val="24"/>
          <w:lang w:val="nl-BE"/>
        </w:rPr>
        <w:t>Mol. Divers.</w:t>
      </w:r>
      <w:r w:rsidRPr="000B50FA">
        <w:rPr>
          <w:rFonts w:ascii="Calibri" w:hAnsi="Calibri" w:cs="Calibri"/>
          <w:noProof/>
          <w:sz w:val="18"/>
          <w:szCs w:val="24"/>
          <w:lang w:val="nl-BE"/>
        </w:rPr>
        <w:t xml:space="preserve">, 2006, </w:t>
      </w:r>
      <w:r w:rsidRPr="000B50FA">
        <w:rPr>
          <w:rFonts w:ascii="Calibri" w:hAnsi="Calibri" w:cs="Calibri"/>
          <w:b/>
          <w:bCs/>
          <w:noProof/>
          <w:sz w:val="18"/>
          <w:szCs w:val="24"/>
          <w:lang w:val="nl-BE"/>
        </w:rPr>
        <w:t>10</w:t>
      </w:r>
      <w:r w:rsidRPr="000B50FA">
        <w:rPr>
          <w:rFonts w:ascii="Calibri" w:hAnsi="Calibri" w:cs="Calibri"/>
          <w:noProof/>
          <w:sz w:val="18"/>
          <w:szCs w:val="24"/>
          <w:lang w:val="nl-BE"/>
        </w:rPr>
        <w:t>, 17–22.</w:t>
      </w:r>
    </w:p>
    <w:p w14:paraId="659797B4" w14:textId="77777777" w:rsidR="00CF3D89" w:rsidRPr="000B50FA" w:rsidRDefault="00CF3D89" w:rsidP="00CF3D89">
      <w:pPr>
        <w:widowControl w:val="0"/>
        <w:autoSpaceDE w:val="0"/>
        <w:autoSpaceDN w:val="0"/>
        <w:adjustRightInd w:val="0"/>
        <w:spacing w:after="0" w:line="240" w:lineRule="exact"/>
        <w:ind w:left="640" w:hanging="640"/>
        <w:rPr>
          <w:rFonts w:ascii="Calibri" w:hAnsi="Calibri" w:cs="Calibri"/>
          <w:noProof/>
          <w:sz w:val="18"/>
          <w:szCs w:val="24"/>
          <w:lang w:val="nl-BE"/>
        </w:rPr>
      </w:pPr>
      <w:r w:rsidRPr="000B50FA">
        <w:rPr>
          <w:rFonts w:ascii="Calibri" w:hAnsi="Calibri" w:cs="Calibri"/>
          <w:noProof/>
          <w:sz w:val="18"/>
          <w:szCs w:val="24"/>
          <w:lang w:val="nl-BE"/>
        </w:rPr>
        <w:t>32</w:t>
      </w:r>
      <w:r w:rsidRPr="000B50FA">
        <w:rPr>
          <w:rFonts w:ascii="Calibri" w:hAnsi="Calibri" w:cs="Calibri"/>
          <w:noProof/>
          <w:sz w:val="18"/>
          <w:szCs w:val="24"/>
          <w:lang w:val="nl-BE"/>
        </w:rPr>
        <w:tab/>
        <w:t xml:space="preserve">S. Tröger-Müller, J. Brandt, M. Antonietti and C. Liedel, </w:t>
      </w:r>
      <w:r w:rsidRPr="000B50FA">
        <w:rPr>
          <w:rFonts w:ascii="Calibri" w:hAnsi="Calibri" w:cs="Calibri"/>
          <w:i/>
          <w:iCs/>
          <w:noProof/>
          <w:sz w:val="18"/>
          <w:szCs w:val="24"/>
          <w:lang w:val="nl-BE"/>
        </w:rPr>
        <w:t>Chem. Eur. J.</w:t>
      </w:r>
      <w:r w:rsidRPr="000B50FA">
        <w:rPr>
          <w:rFonts w:ascii="Calibri" w:hAnsi="Calibri" w:cs="Calibri"/>
          <w:noProof/>
          <w:sz w:val="18"/>
          <w:szCs w:val="24"/>
          <w:lang w:val="nl-BE"/>
        </w:rPr>
        <w:t xml:space="preserve">, 2017, </w:t>
      </w:r>
      <w:r w:rsidRPr="000B50FA">
        <w:rPr>
          <w:rFonts w:ascii="Calibri" w:hAnsi="Calibri" w:cs="Calibri"/>
          <w:b/>
          <w:bCs/>
          <w:noProof/>
          <w:sz w:val="18"/>
          <w:szCs w:val="24"/>
          <w:lang w:val="nl-BE"/>
        </w:rPr>
        <w:t>23</w:t>
      </w:r>
      <w:r w:rsidRPr="000B50FA">
        <w:rPr>
          <w:rFonts w:ascii="Calibri" w:hAnsi="Calibri" w:cs="Calibri"/>
          <w:noProof/>
          <w:sz w:val="18"/>
          <w:szCs w:val="24"/>
          <w:lang w:val="nl-BE"/>
        </w:rPr>
        <w:t>, 11810–11817.</w:t>
      </w:r>
    </w:p>
    <w:p w14:paraId="03A3B8E0"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0B50FA">
        <w:rPr>
          <w:rFonts w:ascii="Calibri" w:hAnsi="Calibri" w:cs="Calibri"/>
          <w:noProof/>
          <w:sz w:val="18"/>
          <w:szCs w:val="24"/>
          <w:lang w:val="nl-BE"/>
        </w:rPr>
        <w:t>33</w:t>
      </w:r>
      <w:r w:rsidRPr="000B50FA">
        <w:rPr>
          <w:rFonts w:ascii="Calibri" w:hAnsi="Calibri" w:cs="Calibri"/>
          <w:noProof/>
          <w:sz w:val="18"/>
          <w:szCs w:val="24"/>
          <w:lang w:val="nl-BE"/>
        </w:rPr>
        <w:tab/>
        <w:t xml:space="preserve">U. Domańska, A. Rȩkawek and A. Marciniak, </w:t>
      </w:r>
      <w:r w:rsidRPr="000B50FA">
        <w:rPr>
          <w:rFonts w:ascii="Calibri" w:hAnsi="Calibri" w:cs="Calibri"/>
          <w:i/>
          <w:iCs/>
          <w:noProof/>
          <w:sz w:val="18"/>
          <w:szCs w:val="24"/>
          <w:lang w:val="nl-BE"/>
        </w:rPr>
        <w:t xml:space="preserve">J. Chem. Eng. </w:t>
      </w:r>
      <w:r w:rsidRPr="00CF3D89">
        <w:rPr>
          <w:rFonts w:ascii="Calibri" w:hAnsi="Calibri" w:cs="Calibri"/>
          <w:i/>
          <w:iCs/>
          <w:noProof/>
          <w:sz w:val="18"/>
          <w:szCs w:val="24"/>
        </w:rPr>
        <w:t>Data</w:t>
      </w:r>
      <w:r w:rsidRPr="00CF3D89">
        <w:rPr>
          <w:rFonts w:ascii="Calibri" w:hAnsi="Calibri" w:cs="Calibri"/>
          <w:noProof/>
          <w:sz w:val="18"/>
          <w:szCs w:val="24"/>
        </w:rPr>
        <w:t xml:space="preserve">, 2008, </w:t>
      </w:r>
      <w:r w:rsidRPr="00CF3D89">
        <w:rPr>
          <w:rFonts w:ascii="Calibri" w:hAnsi="Calibri" w:cs="Calibri"/>
          <w:b/>
          <w:bCs/>
          <w:noProof/>
          <w:sz w:val="18"/>
          <w:szCs w:val="24"/>
        </w:rPr>
        <w:t>53</w:t>
      </w:r>
      <w:r w:rsidRPr="00CF3D89">
        <w:rPr>
          <w:rFonts w:ascii="Calibri" w:hAnsi="Calibri" w:cs="Calibri"/>
          <w:noProof/>
          <w:sz w:val="18"/>
          <w:szCs w:val="24"/>
        </w:rPr>
        <w:t>, 1126–1132.</w:t>
      </w:r>
    </w:p>
    <w:p w14:paraId="3AF80CBE"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34</w:t>
      </w:r>
      <w:r w:rsidRPr="00CF3D89">
        <w:rPr>
          <w:rFonts w:ascii="Calibri" w:hAnsi="Calibri" w:cs="Calibri"/>
          <w:noProof/>
          <w:sz w:val="18"/>
          <w:szCs w:val="24"/>
        </w:rPr>
        <w:tab/>
        <w:t xml:space="preserve">V. Mazan, I. Billard and N. Papaiconomou, </w:t>
      </w:r>
      <w:r w:rsidRPr="00CF3D89">
        <w:rPr>
          <w:rFonts w:ascii="Calibri" w:hAnsi="Calibri" w:cs="Calibri"/>
          <w:i/>
          <w:iCs/>
          <w:noProof/>
          <w:sz w:val="18"/>
          <w:szCs w:val="24"/>
        </w:rPr>
        <w:t>RSC Adv.</w:t>
      </w:r>
      <w:r w:rsidRPr="00CF3D89">
        <w:rPr>
          <w:rFonts w:ascii="Calibri" w:hAnsi="Calibri" w:cs="Calibri"/>
          <w:noProof/>
          <w:sz w:val="18"/>
          <w:szCs w:val="24"/>
        </w:rPr>
        <w:t xml:space="preserve">, 2014, </w:t>
      </w:r>
      <w:r w:rsidRPr="00CF3D89">
        <w:rPr>
          <w:rFonts w:ascii="Calibri" w:hAnsi="Calibri" w:cs="Calibri"/>
          <w:b/>
          <w:bCs/>
          <w:noProof/>
          <w:sz w:val="18"/>
          <w:szCs w:val="24"/>
        </w:rPr>
        <w:t>4</w:t>
      </w:r>
      <w:r w:rsidRPr="00CF3D89">
        <w:rPr>
          <w:rFonts w:ascii="Calibri" w:hAnsi="Calibri" w:cs="Calibri"/>
          <w:noProof/>
          <w:sz w:val="18"/>
          <w:szCs w:val="24"/>
        </w:rPr>
        <w:t>, 13371–13384.</w:t>
      </w:r>
    </w:p>
    <w:p w14:paraId="590DA4AC"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35</w:t>
      </w:r>
      <w:r w:rsidRPr="00CF3D89">
        <w:rPr>
          <w:rFonts w:ascii="Calibri" w:hAnsi="Calibri" w:cs="Calibri"/>
          <w:noProof/>
          <w:sz w:val="18"/>
          <w:szCs w:val="24"/>
        </w:rPr>
        <w:tab/>
        <w:t xml:space="preserve">C. Reichardt and T. Welton, in </w:t>
      </w:r>
      <w:r w:rsidRPr="00CF3D89">
        <w:rPr>
          <w:rFonts w:ascii="Calibri" w:hAnsi="Calibri" w:cs="Calibri"/>
          <w:i/>
          <w:iCs/>
          <w:noProof/>
          <w:sz w:val="18"/>
          <w:szCs w:val="24"/>
        </w:rPr>
        <w:t>Solvents and Solvent Effects in Organic Chemistry</w:t>
      </w:r>
      <w:r w:rsidRPr="00CF3D89">
        <w:rPr>
          <w:rFonts w:ascii="Calibri" w:hAnsi="Calibri" w:cs="Calibri"/>
          <w:noProof/>
          <w:sz w:val="18"/>
          <w:szCs w:val="24"/>
        </w:rPr>
        <w:t>, eds. C. Reichardt and T. Welton, Wiley-VCH Verlag GmbH &amp; Co. KGaA, Weinheim, Germany, 2010, pp. 549–586.</w:t>
      </w:r>
    </w:p>
    <w:p w14:paraId="7B73378B"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36</w:t>
      </w:r>
      <w:r w:rsidRPr="00CF3D89">
        <w:rPr>
          <w:rFonts w:ascii="Calibri" w:hAnsi="Calibri" w:cs="Calibri"/>
          <w:noProof/>
          <w:sz w:val="18"/>
          <w:szCs w:val="24"/>
        </w:rPr>
        <w:tab/>
        <w:t xml:space="preserve">W. M. Jackson and J. S. Drury, </w:t>
      </w:r>
      <w:r w:rsidRPr="00CF3D89">
        <w:rPr>
          <w:rFonts w:ascii="Calibri" w:hAnsi="Calibri" w:cs="Calibri"/>
          <w:i/>
          <w:iCs/>
          <w:noProof/>
          <w:sz w:val="18"/>
          <w:szCs w:val="24"/>
        </w:rPr>
        <w:t>Ind. Eng. Chem.</w:t>
      </w:r>
      <w:r w:rsidRPr="00CF3D89">
        <w:rPr>
          <w:rFonts w:ascii="Calibri" w:hAnsi="Calibri" w:cs="Calibri"/>
          <w:noProof/>
          <w:sz w:val="18"/>
          <w:szCs w:val="24"/>
        </w:rPr>
        <w:t xml:space="preserve">, 1959, </w:t>
      </w:r>
      <w:r w:rsidRPr="00CF3D89">
        <w:rPr>
          <w:rFonts w:ascii="Calibri" w:hAnsi="Calibri" w:cs="Calibri"/>
          <w:b/>
          <w:bCs/>
          <w:noProof/>
          <w:sz w:val="18"/>
          <w:szCs w:val="24"/>
        </w:rPr>
        <w:t>51</w:t>
      </w:r>
      <w:r w:rsidRPr="00CF3D89">
        <w:rPr>
          <w:rFonts w:ascii="Calibri" w:hAnsi="Calibri" w:cs="Calibri"/>
          <w:noProof/>
          <w:sz w:val="18"/>
          <w:szCs w:val="24"/>
        </w:rPr>
        <w:t>, 1491–1493.</w:t>
      </w:r>
    </w:p>
    <w:p w14:paraId="0E26C044"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37</w:t>
      </w:r>
      <w:r w:rsidRPr="00CF3D89">
        <w:rPr>
          <w:rFonts w:ascii="Calibri" w:hAnsi="Calibri" w:cs="Calibri"/>
          <w:noProof/>
          <w:sz w:val="18"/>
          <w:szCs w:val="24"/>
        </w:rPr>
        <w:tab/>
        <w:t xml:space="preserve">R. Rohini, C. K. Lee, J. T. Lu and I. J. B. Lin, </w:t>
      </w:r>
      <w:r w:rsidRPr="00CF3D89">
        <w:rPr>
          <w:rFonts w:ascii="Calibri" w:hAnsi="Calibri" w:cs="Calibri"/>
          <w:i/>
          <w:iCs/>
          <w:noProof/>
          <w:sz w:val="18"/>
          <w:szCs w:val="24"/>
        </w:rPr>
        <w:t>J. Chinese Chem. Soc.</w:t>
      </w:r>
      <w:r w:rsidRPr="00CF3D89">
        <w:rPr>
          <w:rFonts w:ascii="Calibri" w:hAnsi="Calibri" w:cs="Calibri"/>
          <w:noProof/>
          <w:sz w:val="18"/>
          <w:szCs w:val="24"/>
        </w:rPr>
        <w:t xml:space="preserve">, 2013, </w:t>
      </w:r>
      <w:r w:rsidRPr="00CF3D89">
        <w:rPr>
          <w:rFonts w:ascii="Calibri" w:hAnsi="Calibri" w:cs="Calibri"/>
          <w:b/>
          <w:bCs/>
          <w:noProof/>
          <w:sz w:val="18"/>
          <w:szCs w:val="24"/>
        </w:rPr>
        <w:t>60</w:t>
      </w:r>
      <w:r w:rsidRPr="00CF3D89">
        <w:rPr>
          <w:rFonts w:ascii="Calibri" w:hAnsi="Calibri" w:cs="Calibri"/>
          <w:noProof/>
          <w:sz w:val="18"/>
          <w:szCs w:val="24"/>
        </w:rPr>
        <w:t>, 745–754.</w:t>
      </w:r>
    </w:p>
    <w:p w14:paraId="7FAAB269"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38</w:t>
      </w:r>
      <w:r w:rsidRPr="00CF3D89">
        <w:rPr>
          <w:rFonts w:ascii="Calibri" w:hAnsi="Calibri" w:cs="Calibri"/>
          <w:noProof/>
          <w:sz w:val="18"/>
          <w:szCs w:val="24"/>
        </w:rPr>
        <w:tab/>
        <w:t xml:space="preserve">G. Gurau, H. Rodríguez, S. P. Kelley, P. Janiczek, R. S. Kalb and R. D. Rogers, </w:t>
      </w:r>
      <w:r w:rsidRPr="00CF3D89">
        <w:rPr>
          <w:rFonts w:ascii="Calibri" w:hAnsi="Calibri" w:cs="Calibri"/>
          <w:i/>
          <w:iCs/>
          <w:noProof/>
          <w:sz w:val="18"/>
          <w:szCs w:val="24"/>
        </w:rPr>
        <w:t>Angew. Chemie - Int. Ed.</w:t>
      </w:r>
      <w:r w:rsidRPr="00CF3D89">
        <w:rPr>
          <w:rFonts w:ascii="Calibri" w:hAnsi="Calibri" w:cs="Calibri"/>
          <w:noProof/>
          <w:sz w:val="18"/>
          <w:szCs w:val="24"/>
        </w:rPr>
        <w:t xml:space="preserve">, 2011, </w:t>
      </w:r>
      <w:r w:rsidRPr="00CF3D89">
        <w:rPr>
          <w:rFonts w:ascii="Calibri" w:hAnsi="Calibri" w:cs="Calibri"/>
          <w:b/>
          <w:bCs/>
          <w:noProof/>
          <w:sz w:val="18"/>
          <w:szCs w:val="24"/>
        </w:rPr>
        <w:t>50</w:t>
      </w:r>
      <w:r w:rsidRPr="00CF3D89">
        <w:rPr>
          <w:rFonts w:ascii="Calibri" w:hAnsi="Calibri" w:cs="Calibri"/>
          <w:noProof/>
          <w:sz w:val="18"/>
          <w:szCs w:val="24"/>
        </w:rPr>
        <w:t>, 12024–12026.</w:t>
      </w:r>
    </w:p>
    <w:p w14:paraId="528B71CF"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39</w:t>
      </w:r>
      <w:r w:rsidRPr="00CF3D89">
        <w:rPr>
          <w:rFonts w:ascii="Calibri" w:hAnsi="Calibri" w:cs="Calibri"/>
          <w:noProof/>
          <w:sz w:val="18"/>
          <w:szCs w:val="24"/>
        </w:rPr>
        <w:tab/>
        <w:t xml:space="preserve">G. K. Wagner, D. Kotschenreuther, W. Zimmermann and S. A. Laufer, </w:t>
      </w:r>
      <w:r w:rsidRPr="00CF3D89">
        <w:rPr>
          <w:rFonts w:ascii="Calibri" w:hAnsi="Calibri" w:cs="Calibri"/>
          <w:i/>
          <w:iCs/>
          <w:noProof/>
          <w:sz w:val="18"/>
          <w:szCs w:val="24"/>
        </w:rPr>
        <w:t>J. Org. Chem.</w:t>
      </w:r>
      <w:r w:rsidRPr="00CF3D89">
        <w:rPr>
          <w:rFonts w:ascii="Calibri" w:hAnsi="Calibri" w:cs="Calibri"/>
          <w:noProof/>
          <w:sz w:val="18"/>
          <w:szCs w:val="24"/>
        </w:rPr>
        <w:t xml:space="preserve">, 2003, </w:t>
      </w:r>
      <w:r w:rsidRPr="00CF3D89">
        <w:rPr>
          <w:rFonts w:ascii="Calibri" w:hAnsi="Calibri" w:cs="Calibri"/>
          <w:b/>
          <w:bCs/>
          <w:noProof/>
          <w:sz w:val="18"/>
          <w:szCs w:val="24"/>
        </w:rPr>
        <w:t>68</w:t>
      </w:r>
      <w:r w:rsidRPr="00CF3D89">
        <w:rPr>
          <w:rFonts w:ascii="Calibri" w:hAnsi="Calibri" w:cs="Calibri"/>
          <w:noProof/>
          <w:sz w:val="18"/>
          <w:szCs w:val="24"/>
        </w:rPr>
        <w:t>, 4527–4530.</w:t>
      </w:r>
    </w:p>
    <w:p w14:paraId="4A9A0237"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lastRenderedPageBreak/>
        <w:t>40</w:t>
      </w:r>
      <w:r w:rsidRPr="00CF3D89">
        <w:rPr>
          <w:rFonts w:ascii="Calibri" w:hAnsi="Calibri" w:cs="Calibri"/>
          <w:noProof/>
          <w:sz w:val="18"/>
          <w:szCs w:val="24"/>
        </w:rPr>
        <w:tab/>
        <w:t xml:space="preserve">S. A. Laufer, W. Zimmermann and K. J. Ruff, </w:t>
      </w:r>
      <w:r w:rsidRPr="00CF3D89">
        <w:rPr>
          <w:rFonts w:ascii="Calibri" w:hAnsi="Calibri" w:cs="Calibri"/>
          <w:i/>
          <w:iCs/>
          <w:noProof/>
          <w:sz w:val="18"/>
          <w:szCs w:val="24"/>
        </w:rPr>
        <w:t>J. Med. Chem.</w:t>
      </w:r>
      <w:r w:rsidRPr="00CF3D89">
        <w:rPr>
          <w:rFonts w:ascii="Calibri" w:hAnsi="Calibri" w:cs="Calibri"/>
          <w:noProof/>
          <w:sz w:val="18"/>
          <w:szCs w:val="24"/>
        </w:rPr>
        <w:t xml:space="preserve">, 2004, </w:t>
      </w:r>
      <w:r w:rsidRPr="00CF3D89">
        <w:rPr>
          <w:rFonts w:ascii="Calibri" w:hAnsi="Calibri" w:cs="Calibri"/>
          <w:b/>
          <w:bCs/>
          <w:noProof/>
          <w:sz w:val="18"/>
          <w:szCs w:val="24"/>
        </w:rPr>
        <w:t>47</w:t>
      </w:r>
      <w:r w:rsidRPr="00CF3D89">
        <w:rPr>
          <w:rFonts w:ascii="Calibri" w:hAnsi="Calibri" w:cs="Calibri"/>
          <w:noProof/>
          <w:sz w:val="18"/>
          <w:szCs w:val="24"/>
        </w:rPr>
        <w:t>, 6311–6325.</w:t>
      </w:r>
    </w:p>
    <w:p w14:paraId="1153E707"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41</w:t>
      </w:r>
      <w:r w:rsidRPr="00CF3D89">
        <w:rPr>
          <w:rFonts w:ascii="Calibri" w:hAnsi="Calibri" w:cs="Calibri"/>
          <w:noProof/>
          <w:sz w:val="18"/>
          <w:szCs w:val="24"/>
        </w:rPr>
        <w:tab/>
        <w:t xml:space="preserve">L. G. Sillén, A. E. Martell, J. Bjerrum and G. K. Schwarzenbach, </w:t>
      </w:r>
      <w:r w:rsidRPr="00CF3D89">
        <w:rPr>
          <w:rFonts w:ascii="Calibri" w:hAnsi="Calibri" w:cs="Calibri"/>
          <w:i/>
          <w:iCs/>
          <w:noProof/>
          <w:sz w:val="18"/>
          <w:szCs w:val="24"/>
        </w:rPr>
        <w:t>Stability constants of metal-ion complexes</w:t>
      </w:r>
      <w:r w:rsidRPr="00CF3D89">
        <w:rPr>
          <w:rFonts w:ascii="Calibri" w:hAnsi="Calibri" w:cs="Calibri"/>
          <w:noProof/>
          <w:sz w:val="18"/>
          <w:szCs w:val="24"/>
        </w:rPr>
        <w:t>, London Chemical Society, 2nd ed., 1964.</w:t>
      </w:r>
    </w:p>
    <w:p w14:paraId="5AD2B25C"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42</w:t>
      </w:r>
      <w:r w:rsidRPr="00CF3D89">
        <w:rPr>
          <w:rFonts w:ascii="Calibri" w:hAnsi="Calibri" w:cs="Calibri"/>
          <w:noProof/>
          <w:sz w:val="18"/>
          <w:szCs w:val="24"/>
        </w:rPr>
        <w:tab/>
        <w:t xml:space="preserve">C. Maton, N. De Vos and C. V. Stevens, </w:t>
      </w:r>
      <w:r w:rsidRPr="00CF3D89">
        <w:rPr>
          <w:rFonts w:ascii="Calibri" w:hAnsi="Calibri" w:cs="Calibri"/>
          <w:i/>
          <w:iCs/>
          <w:noProof/>
          <w:sz w:val="18"/>
          <w:szCs w:val="24"/>
        </w:rPr>
        <w:t>Chem. Soc. Rev.</w:t>
      </w:r>
      <w:r w:rsidRPr="00CF3D89">
        <w:rPr>
          <w:rFonts w:ascii="Calibri" w:hAnsi="Calibri" w:cs="Calibri"/>
          <w:noProof/>
          <w:sz w:val="18"/>
          <w:szCs w:val="24"/>
        </w:rPr>
        <w:t xml:space="preserve">, 2013, </w:t>
      </w:r>
      <w:r w:rsidRPr="00CF3D89">
        <w:rPr>
          <w:rFonts w:ascii="Calibri" w:hAnsi="Calibri" w:cs="Calibri"/>
          <w:b/>
          <w:bCs/>
          <w:noProof/>
          <w:sz w:val="18"/>
          <w:szCs w:val="24"/>
        </w:rPr>
        <w:t>42</w:t>
      </w:r>
      <w:r w:rsidRPr="00CF3D89">
        <w:rPr>
          <w:rFonts w:ascii="Calibri" w:hAnsi="Calibri" w:cs="Calibri"/>
          <w:noProof/>
          <w:sz w:val="18"/>
          <w:szCs w:val="24"/>
        </w:rPr>
        <w:t>, 5963–5977.</w:t>
      </w:r>
    </w:p>
    <w:p w14:paraId="601163D0"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43</w:t>
      </w:r>
      <w:r w:rsidRPr="00CF3D89">
        <w:rPr>
          <w:rFonts w:ascii="Calibri" w:hAnsi="Calibri" w:cs="Calibri"/>
          <w:noProof/>
          <w:sz w:val="18"/>
          <w:szCs w:val="24"/>
        </w:rPr>
        <w:tab/>
        <w:t xml:space="preserve">K. Binnemans, </w:t>
      </w:r>
      <w:r w:rsidRPr="00CF3D89">
        <w:rPr>
          <w:rFonts w:ascii="Calibri" w:hAnsi="Calibri" w:cs="Calibri"/>
          <w:i/>
          <w:iCs/>
          <w:noProof/>
          <w:sz w:val="18"/>
          <w:szCs w:val="24"/>
        </w:rPr>
        <w:t>Chem. Rev.</w:t>
      </w:r>
      <w:r w:rsidRPr="00CF3D89">
        <w:rPr>
          <w:rFonts w:ascii="Calibri" w:hAnsi="Calibri" w:cs="Calibri"/>
          <w:noProof/>
          <w:sz w:val="18"/>
          <w:szCs w:val="24"/>
        </w:rPr>
        <w:t xml:space="preserve">, 2005, </w:t>
      </w:r>
      <w:r w:rsidRPr="00CF3D89">
        <w:rPr>
          <w:rFonts w:ascii="Calibri" w:hAnsi="Calibri" w:cs="Calibri"/>
          <w:b/>
          <w:bCs/>
          <w:noProof/>
          <w:sz w:val="18"/>
          <w:szCs w:val="24"/>
        </w:rPr>
        <w:t>105</w:t>
      </w:r>
      <w:r w:rsidRPr="00CF3D89">
        <w:rPr>
          <w:rFonts w:ascii="Calibri" w:hAnsi="Calibri" w:cs="Calibri"/>
          <w:noProof/>
          <w:sz w:val="18"/>
          <w:szCs w:val="24"/>
        </w:rPr>
        <w:t>, 4148–4204.</w:t>
      </w:r>
    </w:p>
    <w:p w14:paraId="162F0E16"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44</w:t>
      </w:r>
      <w:r w:rsidRPr="00CF3D89">
        <w:rPr>
          <w:rFonts w:ascii="Calibri" w:hAnsi="Calibri" w:cs="Calibri"/>
          <w:noProof/>
          <w:sz w:val="18"/>
          <w:szCs w:val="24"/>
        </w:rPr>
        <w:tab/>
        <w:t xml:space="preserve">K. Goossens, K. Lava, C. W. Bielawski and K. Binnemans, </w:t>
      </w:r>
      <w:r w:rsidRPr="00CF3D89">
        <w:rPr>
          <w:rFonts w:ascii="Calibri" w:hAnsi="Calibri" w:cs="Calibri"/>
          <w:i/>
          <w:iCs/>
          <w:noProof/>
          <w:sz w:val="18"/>
          <w:szCs w:val="24"/>
        </w:rPr>
        <w:t>Chem. Rev.</w:t>
      </w:r>
      <w:r w:rsidRPr="00CF3D89">
        <w:rPr>
          <w:rFonts w:ascii="Calibri" w:hAnsi="Calibri" w:cs="Calibri"/>
          <w:noProof/>
          <w:sz w:val="18"/>
          <w:szCs w:val="24"/>
        </w:rPr>
        <w:t xml:space="preserve">, 2016, </w:t>
      </w:r>
      <w:r w:rsidRPr="00CF3D89">
        <w:rPr>
          <w:rFonts w:ascii="Calibri" w:hAnsi="Calibri" w:cs="Calibri"/>
          <w:b/>
          <w:bCs/>
          <w:noProof/>
          <w:sz w:val="18"/>
          <w:szCs w:val="24"/>
        </w:rPr>
        <w:t>116</w:t>
      </w:r>
      <w:r w:rsidRPr="00CF3D89">
        <w:rPr>
          <w:rFonts w:ascii="Calibri" w:hAnsi="Calibri" w:cs="Calibri"/>
          <w:noProof/>
          <w:sz w:val="18"/>
          <w:szCs w:val="24"/>
        </w:rPr>
        <w:t>, 4643–4807.</w:t>
      </w:r>
    </w:p>
    <w:p w14:paraId="263C2E92"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45</w:t>
      </w:r>
      <w:r w:rsidRPr="00CF3D89">
        <w:rPr>
          <w:rFonts w:ascii="Calibri" w:hAnsi="Calibri" w:cs="Calibri"/>
          <w:noProof/>
          <w:sz w:val="18"/>
          <w:szCs w:val="24"/>
        </w:rPr>
        <w:tab/>
        <w:t xml:space="preserve">D. R. Lide, </w:t>
      </w:r>
      <w:r w:rsidRPr="00CF3D89">
        <w:rPr>
          <w:rFonts w:ascii="Calibri" w:hAnsi="Calibri" w:cs="Calibri"/>
          <w:i/>
          <w:iCs/>
          <w:noProof/>
          <w:sz w:val="18"/>
          <w:szCs w:val="24"/>
        </w:rPr>
        <w:t>CRC Handbook of Chemistry and Physics</w:t>
      </w:r>
      <w:r w:rsidRPr="00CF3D89">
        <w:rPr>
          <w:rFonts w:ascii="Calibri" w:hAnsi="Calibri" w:cs="Calibri"/>
          <w:noProof/>
          <w:sz w:val="18"/>
          <w:szCs w:val="24"/>
        </w:rPr>
        <w:t>, CRC Press, Boca Raton, FL, 2005.</w:t>
      </w:r>
    </w:p>
    <w:p w14:paraId="6DD362F0"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szCs w:val="24"/>
        </w:rPr>
      </w:pPr>
      <w:r w:rsidRPr="00CF3D89">
        <w:rPr>
          <w:rFonts w:ascii="Calibri" w:hAnsi="Calibri" w:cs="Calibri"/>
          <w:noProof/>
          <w:sz w:val="18"/>
          <w:szCs w:val="24"/>
        </w:rPr>
        <w:t>46</w:t>
      </w:r>
      <w:r w:rsidRPr="00CF3D89">
        <w:rPr>
          <w:rFonts w:ascii="Calibri" w:hAnsi="Calibri" w:cs="Calibri"/>
          <w:noProof/>
          <w:sz w:val="18"/>
          <w:szCs w:val="24"/>
        </w:rPr>
        <w:tab/>
        <w:t xml:space="preserve">A. G. M. Barrett, M. R. Crimmin, M. S. Hill, G. Kociok-Köhn, D. J. MacDougall, M. F. Mahon and P. A. Procopiou, </w:t>
      </w:r>
      <w:r w:rsidRPr="00CF3D89">
        <w:rPr>
          <w:rFonts w:ascii="Calibri" w:hAnsi="Calibri" w:cs="Calibri"/>
          <w:i/>
          <w:iCs/>
          <w:noProof/>
          <w:sz w:val="18"/>
          <w:szCs w:val="24"/>
        </w:rPr>
        <w:t>Organometallics</w:t>
      </w:r>
      <w:r w:rsidRPr="00CF3D89">
        <w:rPr>
          <w:rFonts w:ascii="Calibri" w:hAnsi="Calibri" w:cs="Calibri"/>
          <w:noProof/>
          <w:sz w:val="18"/>
          <w:szCs w:val="24"/>
        </w:rPr>
        <w:t xml:space="preserve">, 2008, </w:t>
      </w:r>
      <w:r w:rsidRPr="00CF3D89">
        <w:rPr>
          <w:rFonts w:ascii="Calibri" w:hAnsi="Calibri" w:cs="Calibri"/>
          <w:b/>
          <w:bCs/>
          <w:noProof/>
          <w:sz w:val="18"/>
          <w:szCs w:val="24"/>
        </w:rPr>
        <w:t>27</w:t>
      </w:r>
      <w:r w:rsidRPr="00CF3D89">
        <w:rPr>
          <w:rFonts w:ascii="Calibri" w:hAnsi="Calibri" w:cs="Calibri"/>
          <w:noProof/>
          <w:sz w:val="18"/>
          <w:szCs w:val="24"/>
        </w:rPr>
        <w:t>, 3939–3946.</w:t>
      </w:r>
    </w:p>
    <w:p w14:paraId="61879177" w14:textId="77777777" w:rsidR="00CF3D89" w:rsidRPr="00CF3D89" w:rsidRDefault="00CF3D89" w:rsidP="00CF3D89">
      <w:pPr>
        <w:widowControl w:val="0"/>
        <w:autoSpaceDE w:val="0"/>
        <w:autoSpaceDN w:val="0"/>
        <w:adjustRightInd w:val="0"/>
        <w:spacing w:after="0" w:line="240" w:lineRule="exact"/>
        <w:ind w:left="640" w:hanging="640"/>
        <w:rPr>
          <w:rFonts w:ascii="Calibri" w:hAnsi="Calibri" w:cs="Calibri"/>
          <w:noProof/>
          <w:sz w:val="18"/>
        </w:rPr>
      </w:pPr>
      <w:r w:rsidRPr="00CF3D89">
        <w:rPr>
          <w:rFonts w:ascii="Calibri" w:hAnsi="Calibri" w:cs="Calibri"/>
          <w:noProof/>
          <w:sz w:val="18"/>
          <w:szCs w:val="24"/>
        </w:rPr>
        <w:t>47</w:t>
      </w:r>
      <w:r w:rsidRPr="00CF3D89">
        <w:rPr>
          <w:rFonts w:ascii="Calibri" w:hAnsi="Calibri" w:cs="Calibri"/>
          <w:noProof/>
          <w:sz w:val="18"/>
          <w:szCs w:val="24"/>
        </w:rPr>
        <w:tab/>
        <w:t xml:space="preserve">S. Nishimura, </w:t>
      </w:r>
      <w:r w:rsidRPr="00CF3D89">
        <w:rPr>
          <w:rFonts w:ascii="Calibri" w:hAnsi="Calibri" w:cs="Calibri"/>
          <w:i/>
          <w:iCs/>
          <w:noProof/>
          <w:sz w:val="18"/>
          <w:szCs w:val="24"/>
        </w:rPr>
        <w:t>Handbook of Heterogeneous Catalytic Hydrogenation for Organic Synthesis</w:t>
      </w:r>
      <w:r w:rsidRPr="00CF3D89">
        <w:rPr>
          <w:rFonts w:ascii="Calibri" w:hAnsi="Calibri" w:cs="Calibri"/>
          <w:noProof/>
          <w:sz w:val="18"/>
          <w:szCs w:val="24"/>
        </w:rPr>
        <w:t>, Wiley-Interscience, New York, NY, 2001.</w:t>
      </w:r>
    </w:p>
    <w:p w14:paraId="1AD2E855" w14:textId="2F3C94D0" w:rsidR="003C763C" w:rsidRPr="00241ACD" w:rsidRDefault="00AB19EC" w:rsidP="00AB19EC">
      <w:pPr>
        <w:widowControl w:val="0"/>
        <w:autoSpaceDE w:val="0"/>
        <w:autoSpaceDN w:val="0"/>
        <w:adjustRightInd w:val="0"/>
        <w:spacing w:after="0" w:line="240" w:lineRule="exact"/>
        <w:ind w:left="640" w:hanging="640"/>
      </w:pPr>
      <w:r>
        <w:rPr>
          <w:rFonts w:ascii="Calibri" w:hAnsi="Calibri" w:cs="Calibri"/>
          <w:noProof/>
          <w:sz w:val="18"/>
          <w:szCs w:val="24"/>
        </w:rPr>
        <w:fldChar w:fldCharType="end"/>
      </w:r>
    </w:p>
    <w:sectPr w:rsidR="003C763C" w:rsidRPr="00241ACD" w:rsidSect="009B29B9">
      <w:type w:val="continuous"/>
      <w:pgSz w:w="11907" w:h="16840" w:code="9"/>
      <w:pgMar w:top="1009" w:right="851" w:bottom="1758" w:left="851" w:header="851" w:footer="104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3219D" w14:textId="77777777" w:rsidR="00721C96" w:rsidRDefault="00721C96" w:rsidP="00E547DB">
      <w:pPr>
        <w:spacing w:after="0" w:line="240" w:lineRule="auto"/>
      </w:pPr>
      <w:r>
        <w:separator/>
      </w:r>
    </w:p>
    <w:p w14:paraId="1D2D39B0" w14:textId="77777777" w:rsidR="00721C96" w:rsidRDefault="00721C96"/>
    <w:p w14:paraId="6B0ACA82" w14:textId="77777777" w:rsidR="00721C96" w:rsidRDefault="00721C96"/>
    <w:p w14:paraId="1807D890" w14:textId="77777777" w:rsidR="00721C96" w:rsidRDefault="00721C96"/>
    <w:p w14:paraId="000BBF31" w14:textId="77777777" w:rsidR="00721C96" w:rsidRDefault="00721C96"/>
    <w:p w14:paraId="5DB27B16" w14:textId="77777777" w:rsidR="00721C96" w:rsidRDefault="00721C96"/>
  </w:endnote>
  <w:endnote w:type="continuationSeparator" w:id="0">
    <w:p w14:paraId="7559568F" w14:textId="77777777" w:rsidR="00721C96" w:rsidRDefault="00721C96" w:rsidP="00E547DB">
      <w:pPr>
        <w:spacing w:after="0" w:line="240" w:lineRule="auto"/>
      </w:pPr>
      <w:r>
        <w:continuationSeparator/>
      </w:r>
    </w:p>
    <w:p w14:paraId="7F5A961E" w14:textId="77777777" w:rsidR="00721C96" w:rsidRDefault="00721C96"/>
    <w:p w14:paraId="513E0BF0" w14:textId="77777777" w:rsidR="00721C96" w:rsidRDefault="00721C96"/>
    <w:p w14:paraId="545CC696" w14:textId="77777777" w:rsidR="00721C96" w:rsidRDefault="00721C96"/>
    <w:p w14:paraId="063B3E84" w14:textId="77777777" w:rsidR="00721C96" w:rsidRDefault="00721C96"/>
    <w:p w14:paraId="29D9EF26" w14:textId="77777777" w:rsidR="00721C96" w:rsidRDefault="00721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0CA3FFE-9F6D-4CF5-9BF2-BFAD8ED2B9E5}"/>
    <w:embedBold r:id="rId2" w:fontKey="{E0502E96-E83E-4D2C-B87E-E72441AD6C79}"/>
    <w:embedItalic r:id="rId3" w:fontKey="{D8692E49-B092-406A-AD3B-0AAEA708E53D}"/>
  </w:font>
  <w:font w:name="Tahoma">
    <w:panose1 w:val="020B0604030504040204"/>
    <w:charset w:val="00"/>
    <w:family w:val="swiss"/>
    <w:pitch w:val="variable"/>
    <w:sig w:usb0="E1002EFF" w:usb1="C000605B" w:usb2="00000029" w:usb3="00000000" w:csb0="000101FF" w:csb1="00000000"/>
    <w:embedRegular r:id="rId4" w:fontKey="{5964298D-6650-4F7E-A024-C71F3D210D61}"/>
  </w:font>
  <w:font w:name="Consolas">
    <w:panose1 w:val="020B0609020204030204"/>
    <w:charset w:val="00"/>
    <w:family w:val="modern"/>
    <w:pitch w:val="fixed"/>
    <w:sig w:usb0="E00006FF" w:usb1="0000FCFF" w:usb2="00000001" w:usb3="00000000" w:csb0="0000019F" w:csb1="00000000"/>
    <w:embedRegular r:id="rId5" w:fontKey="{B99D2512-15C0-4C63-B3B5-A5AF70E5B976}"/>
    <w:embedBold r:id="rId6" w:fontKey="{3D06E14B-A015-41CC-9037-7475F6EC1326}"/>
  </w:font>
  <w:font w:name="Malgun Gothic">
    <w:panose1 w:val="020B0503020000020004"/>
    <w:charset w:val="81"/>
    <w:family w:val="swiss"/>
    <w:pitch w:val="variable"/>
    <w:sig w:usb0="9000002F" w:usb1="29D77CFB" w:usb2="00000012" w:usb3="00000000" w:csb0="00080001" w:csb1="00000000"/>
    <w:embedRegular r:id="rId7" w:subsetted="1" w:fontKey="{53B919FF-3A61-4351-A634-AD335A40ACA7}"/>
  </w:font>
  <w:font w:name="Cambria Math">
    <w:panose1 w:val="02040503050406030204"/>
    <w:charset w:val="00"/>
    <w:family w:val="roman"/>
    <w:pitch w:val="variable"/>
    <w:sig w:usb0="E00006FF" w:usb1="420024FF" w:usb2="02000000" w:usb3="00000000" w:csb0="0000019F" w:csb1="00000000"/>
    <w:embedRegular r:id="rId8" w:fontKey="{D37621F4-CACC-48B5-9DB9-19943517CB35}"/>
  </w:font>
  <w:font w:name="Cambria">
    <w:panose1 w:val="02040503050406030204"/>
    <w:charset w:val="00"/>
    <w:family w:val="roman"/>
    <w:pitch w:val="variable"/>
    <w:sig w:usb0="E00006FF" w:usb1="420024FF" w:usb2="02000000" w:usb3="00000000" w:csb0="0000019F" w:csb1="00000000"/>
    <w:embedRegular r:id="rId9" w:fontKey="{FF8205B5-2B9D-496B-869A-3644E49A9A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3AB8" w14:textId="55B793B4" w:rsidR="00D865C7" w:rsidRPr="006602F1" w:rsidRDefault="00D865C7"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4554D">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 xml:space="preserve"> 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E7F57" w14:textId="25E2CAFC" w:rsidR="00D865C7" w:rsidRPr="006602F1" w:rsidRDefault="00D865C7"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 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4554D">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83ECB" w14:textId="040279FB" w:rsidR="00D865C7" w:rsidRPr="006602F1" w:rsidRDefault="00D865C7"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7815CC7B" wp14:editId="77527CA5">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187C2D6" w14:textId="77777777" w:rsidR="00D865C7" w:rsidRPr="00F20A7C" w:rsidRDefault="00D865C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15CC7B"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187C2D6" w14:textId="77777777" w:rsidR="00D865C7" w:rsidRPr="00F20A7C" w:rsidRDefault="00D865C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 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4554D">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A381E" w14:textId="77777777" w:rsidR="00721C96" w:rsidRDefault="00721C96" w:rsidP="00E547DB">
      <w:pPr>
        <w:spacing w:after="0" w:line="240" w:lineRule="auto"/>
      </w:pPr>
      <w:r>
        <w:separator/>
      </w:r>
    </w:p>
    <w:p w14:paraId="3B27C0B3" w14:textId="77777777" w:rsidR="00721C96" w:rsidRDefault="00721C96"/>
    <w:p w14:paraId="7F1858C8" w14:textId="77777777" w:rsidR="00721C96" w:rsidRDefault="00721C96"/>
    <w:p w14:paraId="6412F4FA" w14:textId="77777777" w:rsidR="00721C96" w:rsidRDefault="00721C96"/>
    <w:p w14:paraId="464D12A1" w14:textId="77777777" w:rsidR="00721C96" w:rsidRDefault="00721C96"/>
    <w:p w14:paraId="15D09557" w14:textId="77777777" w:rsidR="00721C96" w:rsidRDefault="00721C96"/>
  </w:footnote>
  <w:footnote w:type="continuationSeparator" w:id="0">
    <w:p w14:paraId="0F5A5C03" w14:textId="77777777" w:rsidR="00721C96" w:rsidRDefault="00721C96" w:rsidP="00E547DB">
      <w:pPr>
        <w:spacing w:after="0" w:line="240" w:lineRule="auto"/>
      </w:pPr>
      <w:r>
        <w:continuationSeparator/>
      </w:r>
    </w:p>
    <w:p w14:paraId="18888F45" w14:textId="77777777" w:rsidR="00721C96" w:rsidRDefault="00721C96"/>
    <w:p w14:paraId="49ED1C0A" w14:textId="77777777" w:rsidR="00721C96" w:rsidRDefault="00721C96"/>
    <w:p w14:paraId="28597A89" w14:textId="77777777" w:rsidR="00721C96" w:rsidRDefault="00721C96"/>
    <w:p w14:paraId="0BBE9784" w14:textId="77777777" w:rsidR="00721C96" w:rsidRDefault="00721C96"/>
    <w:p w14:paraId="29C749D8" w14:textId="77777777" w:rsidR="00721C96" w:rsidRDefault="00721C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8FE3D" w14:textId="4A2F8EF6" w:rsidR="00D865C7" w:rsidRPr="00E70DCE" w:rsidRDefault="00D865C7" w:rsidP="00D45ADF">
    <w:pPr>
      <w:pStyle w:val="Header"/>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68480" behindDoc="0" locked="0" layoutInCell="1" allowOverlap="1" wp14:anchorId="280A0E55" wp14:editId="24D4880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194634"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0A0E55"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2B194634"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08725FE4" wp14:editId="26D552E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8B7C1F0"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25FE4"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8B7C1F0"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fldChar w:fldCharType="begin"/>
    </w:r>
    <w:r>
      <w:rPr>
        <w:rFonts w:cstheme="minorHAnsi"/>
        <w:b/>
        <w:color w:val="999999"/>
        <w:sz w:val="20"/>
        <w:szCs w:val="20"/>
      </w:rPr>
      <w:instrText xml:space="preserve"> DOCPROPERTY journal </w:instrText>
    </w:r>
    <w:r>
      <w:rPr>
        <w:rFonts w:cstheme="minorHAnsi"/>
        <w:b/>
        <w:color w:val="999999"/>
        <w:sz w:val="20"/>
        <w:szCs w:val="20"/>
      </w:rPr>
      <w:fldChar w:fldCharType="separate"/>
    </w:r>
    <w:r w:rsidR="008E48ED">
      <w:rPr>
        <w:rFonts w:cstheme="minorHAnsi"/>
        <w:b/>
        <w:color w:val="999999"/>
        <w:sz w:val="20"/>
        <w:szCs w:val="20"/>
      </w:rPr>
      <w:t>RSC Advances</w:t>
    </w:r>
    <w:r>
      <w:rPr>
        <w:rFonts w:cstheme="minorHAnsi"/>
        <w:b/>
        <w:color w:val="999999"/>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1D478" w14:textId="2BF62ADB" w:rsidR="00D865C7" w:rsidRPr="009316A6" w:rsidRDefault="00D865C7"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60DAD7D6" wp14:editId="46971E1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AAD5E8F"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DAD7D6"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AAD5E8F"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fldChar w:fldCharType="begin"/>
    </w:r>
    <w:r>
      <w:rPr>
        <w:rFonts w:cstheme="minorHAnsi"/>
        <w:b/>
        <w:color w:val="999999"/>
        <w:sz w:val="20"/>
        <w:szCs w:val="20"/>
      </w:rPr>
      <w:instrText xml:space="preserve"> DOCPROPERTY journal </w:instrText>
    </w:r>
    <w:r>
      <w:rPr>
        <w:rFonts w:cstheme="minorHAnsi"/>
        <w:b/>
        <w:color w:val="999999"/>
        <w:sz w:val="20"/>
        <w:szCs w:val="20"/>
      </w:rPr>
      <w:fldChar w:fldCharType="separate"/>
    </w:r>
    <w:r w:rsidR="008E48ED">
      <w:rPr>
        <w:rFonts w:cstheme="minorHAnsi"/>
        <w:b/>
        <w:color w:val="999999"/>
        <w:sz w:val="20"/>
        <w:szCs w:val="20"/>
      </w:rPr>
      <w:t>RSC Advances</w:t>
    </w:r>
    <w:r>
      <w:rPr>
        <w:rFonts w:cstheme="minorHAnsi"/>
        <w:b/>
        <w:color w:val="999999"/>
        <w:sz w:val="20"/>
        <w:szCs w:val="20"/>
      </w:rPr>
      <w:fldChar w:fldCharType="end"/>
    </w:r>
    <w:r>
      <w:rPr>
        <w:noProof/>
        <w:lang w:val="en-US"/>
      </w:rPr>
      <mc:AlternateContent>
        <mc:Choice Requires="wps">
          <w:drawing>
            <wp:anchor distT="0" distB="0" distL="114300" distR="114300" simplePos="0" relativeHeight="251670528" behindDoc="0" locked="0" layoutInCell="1" allowOverlap="1" wp14:anchorId="2E6AEB32" wp14:editId="56CD9A8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30C0941"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AEB32"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30C0941"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E46EB" w14:textId="58448066" w:rsidR="00D865C7" w:rsidRDefault="00D865C7" w:rsidP="00180ABE">
    <w:pPr>
      <w:pStyle w:val="Header"/>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14:anchorId="28AE242E" wp14:editId="3BAECB3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F362D73"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AE242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F362D73" w14:textId="77777777" w:rsidR="00D865C7" w:rsidRPr="00F20A7C" w:rsidRDefault="00D865C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fldChar w:fldCharType="begin"/>
    </w:r>
    <w:r>
      <w:rPr>
        <w:b/>
        <w:sz w:val="32"/>
        <w:szCs w:val="32"/>
      </w:rPr>
      <w:instrText xml:space="preserve"> DOCPROPERTY journal </w:instrText>
    </w:r>
    <w:r>
      <w:rPr>
        <w:b/>
        <w:sz w:val="32"/>
        <w:szCs w:val="32"/>
      </w:rPr>
      <w:fldChar w:fldCharType="separate"/>
    </w:r>
    <w:r w:rsidR="008E48ED">
      <w:rPr>
        <w:b/>
        <w:sz w:val="32"/>
        <w:szCs w:val="32"/>
      </w:rPr>
      <w:t>RSC Advances</w:t>
    </w:r>
    <w:r>
      <w:rPr>
        <w:b/>
        <w:sz w:val="32"/>
        <w:szCs w:val="32"/>
      </w:rPr>
      <w:fldChar w:fldCharType="end"/>
    </w:r>
    <w:bookmarkStart w:id="0" w:name="_Ref15700906"/>
    <w:r>
      <w:rPr>
        <w:b/>
        <w:sz w:val="32"/>
        <w:szCs w:val="32"/>
      </w:rPr>
      <w:tab/>
    </w:r>
    <w:r>
      <w:rPr>
        <w:b/>
        <w:noProof/>
        <w:sz w:val="32"/>
        <w:szCs w:val="32"/>
        <w:lang w:val="en-US"/>
      </w:rPr>
      <w:drawing>
        <wp:inline distT="0" distB="0" distL="0" distR="0" wp14:anchorId="3BB68992" wp14:editId="64C86D4B">
          <wp:extent cx="97231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F93715A" w14:textId="1A048774" w:rsidR="00D865C7" w:rsidRPr="00180ABE" w:rsidRDefault="00D865C7"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772A9B"/>
    <w:multiLevelType w:val="hybridMultilevel"/>
    <w:tmpl w:val="7E7E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CB3"/>
    <w:rsid w:val="000013A4"/>
    <w:rsid w:val="00002EBE"/>
    <w:rsid w:val="00003D55"/>
    <w:rsid w:val="00003E15"/>
    <w:rsid w:val="00005B8A"/>
    <w:rsid w:val="00010FE4"/>
    <w:rsid w:val="00013F19"/>
    <w:rsid w:val="00014275"/>
    <w:rsid w:val="0001442B"/>
    <w:rsid w:val="0002012B"/>
    <w:rsid w:val="00020935"/>
    <w:rsid w:val="00022D8A"/>
    <w:rsid w:val="000234A9"/>
    <w:rsid w:val="00023A1B"/>
    <w:rsid w:val="00024484"/>
    <w:rsid w:val="000251C5"/>
    <w:rsid w:val="0002535B"/>
    <w:rsid w:val="00030B11"/>
    <w:rsid w:val="000420CD"/>
    <w:rsid w:val="0004511B"/>
    <w:rsid w:val="00053507"/>
    <w:rsid w:val="000535F2"/>
    <w:rsid w:val="00056DFC"/>
    <w:rsid w:val="00061973"/>
    <w:rsid w:val="000622D1"/>
    <w:rsid w:val="000655BA"/>
    <w:rsid w:val="00071E41"/>
    <w:rsid w:val="00073639"/>
    <w:rsid w:val="00074B6E"/>
    <w:rsid w:val="00074DC5"/>
    <w:rsid w:val="00076345"/>
    <w:rsid w:val="0008129F"/>
    <w:rsid w:val="000835FB"/>
    <w:rsid w:val="00084036"/>
    <w:rsid w:val="00085AD3"/>
    <w:rsid w:val="00092CD2"/>
    <w:rsid w:val="00094C13"/>
    <w:rsid w:val="0009704D"/>
    <w:rsid w:val="000975A9"/>
    <w:rsid w:val="00097710"/>
    <w:rsid w:val="000A0249"/>
    <w:rsid w:val="000A0362"/>
    <w:rsid w:val="000A0B06"/>
    <w:rsid w:val="000A127C"/>
    <w:rsid w:val="000A2670"/>
    <w:rsid w:val="000A43D3"/>
    <w:rsid w:val="000A5213"/>
    <w:rsid w:val="000A5BFE"/>
    <w:rsid w:val="000B1D66"/>
    <w:rsid w:val="000B428B"/>
    <w:rsid w:val="000B4E68"/>
    <w:rsid w:val="000B50FA"/>
    <w:rsid w:val="000C044B"/>
    <w:rsid w:val="000C0A9D"/>
    <w:rsid w:val="000C2219"/>
    <w:rsid w:val="000C22B5"/>
    <w:rsid w:val="000C4FA6"/>
    <w:rsid w:val="000C572D"/>
    <w:rsid w:val="000C76E3"/>
    <w:rsid w:val="000D0CB3"/>
    <w:rsid w:val="000D1FCE"/>
    <w:rsid w:val="000D2776"/>
    <w:rsid w:val="000D2FAC"/>
    <w:rsid w:val="000D3F84"/>
    <w:rsid w:val="000D5891"/>
    <w:rsid w:val="000D6963"/>
    <w:rsid w:val="000D698C"/>
    <w:rsid w:val="000D71E1"/>
    <w:rsid w:val="000E1A8B"/>
    <w:rsid w:val="000E282F"/>
    <w:rsid w:val="000E3A29"/>
    <w:rsid w:val="000E42A8"/>
    <w:rsid w:val="000E54F4"/>
    <w:rsid w:val="000E7A32"/>
    <w:rsid w:val="000F0959"/>
    <w:rsid w:val="000F2D2F"/>
    <w:rsid w:val="000F2F70"/>
    <w:rsid w:val="000F31DA"/>
    <w:rsid w:val="000F3A41"/>
    <w:rsid w:val="000F4855"/>
    <w:rsid w:val="000F7349"/>
    <w:rsid w:val="0010086A"/>
    <w:rsid w:val="00102A4C"/>
    <w:rsid w:val="00104259"/>
    <w:rsid w:val="00111298"/>
    <w:rsid w:val="00113009"/>
    <w:rsid w:val="00120227"/>
    <w:rsid w:val="00121AE1"/>
    <w:rsid w:val="00121E66"/>
    <w:rsid w:val="00122109"/>
    <w:rsid w:val="0012363D"/>
    <w:rsid w:val="00124DD1"/>
    <w:rsid w:val="00124E95"/>
    <w:rsid w:val="00126027"/>
    <w:rsid w:val="00131794"/>
    <w:rsid w:val="00131CFC"/>
    <w:rsid w:val="001320E1"/>
    <w:rsid w:val="00134170"/>
    <w:rsid w:val="00136FBE"/>
    <w:rsid w:val="00140CD8"/>
    <w:rsid w:val="001442CA"/>
    <w:rsid w:val="0014599B"/>
    <w:rsid w:val="001467AC"/>
    <w:rsid w:val="001508E9"/>
    <w:rsid w:val="00151516"/>
    <w:rsid w:val="0015222D"/>
    <w:rsid w:val="0016230A"/>
    <w:rsid w:val="001633D9"/>
    <w:rsid w:val="00163479"/>
    <w:rsid w:val="001652C6"/>
    <w:rsid w:val="001662E0"/>
    <w:rsid w:val="00171F0A"/>
    <w:rsid w:val="00176EB4"/>
    <w:rsid w:val="001776E6"/>
    <w:rsid w:val="001801F6"/>
    <w:rsid w:val="00180ABE"/>
    <w:rsid w:val="0018641E"/>
    <w:rsid w:val="00186569"/>
    <w:rsid w:val="00190590"/>
    <w:rsid w:val="00190743"/>
    <w:rsid w:val="00191564"/>
    <w:rsid w:val="0019177F"/>
    <w:rsid w:val="00191795"/>
    <w:rsid w:val="001923AB"/>
    <w:rsid w:val="00193A2F"/>
    <w:rsid w:val="00195562"/>
    <w:rsid w:val="001A041E"/>
    <w:rsid w:val="001A13A7"/>
    <w:rsid w:val="001A452E"/>
    <w:rsid w:val="001A6C47"/>
    <w:rsid w:val="001B33A6"/>
    <w:rsid w:val="001B6EC5"/>
    <w:rsid w:val="001B786E"/>
    <w:rsid w:val="001C1EB8"/>
    <w:rsid w:val="001C3B3E"/>
    <w:rsid w:val="001D3287"/>
    <w:rsid w:val="001D54AD"/>
    <w:rsid w:val="001D695A"/>
    <w:rsid w:val="001E12DB"/>
    <w:rsid w:val="001E1715"/>
    <w:rsid w:val="001E1B65"/>
    <w:rsid w:val="001E6C71"/>
    <w:rsid w:val="001F0433"/>
    <w:rsid w:val="001F121B"/>
    <w:rsid w:val="001F334F"/>
    <w:rsid w:val="001F4BD8"/>
    <w:rsid w:val="001F4DD1"/>
    <w:rsid w:val="001F5D13"/>
    <w:rsid w:val="00206A82"/>
    <w:rsid w:val="00214BEC"/>
    <w:rsid w:val="002225DC"/>
    <w:rsid w:val="00224390"/>
    <w:rsid w:val="0022584F"/>
    <w:rsid w:val="00227F02"/>
    <w:rsid w:val="00231772"/>
    <w:rsid w:val="002326DC"/>
    <w:rsid w:val="00233442"/>
    <w:rsid w:val="00233BD8"/>
    <w:rsid w:val="00235D91"/>
    <w:rsid w:val="00236275"/>
    <w:rsid w:val="00237C8A"/>
    <w:rsid w:val="0024022C"/>
    <w:rsid w:val="00241ACD"/>
    <w:rsid w:val="00242CD3"/>
    <w:rsid w:val="002456EC"/>
    <w:rsid w:val="00246519"/>
    <w:rsid w:val="002518D1"/>
    <w:rsid w:val="00251EDB"/>
    <w:rsid w:val="00252E77"/>
    <w:rsid w:val="00253551"/>
    <w:rsid w:val="002548DB"/>
    <w:rsid w:val="00256812"/>
    <w:rsid w:val="00261552"/>
    <w:rsid w:val="00263277"/>
    <w:rsid w:val="002657C9"/>
    <w:rsid w:val="00270C22"/>
    <w:rsid w:val="00270DD5"/>
    <w:rsid w:val="00271235"/>
    <w:rsid w:val="00272D6F"/>
    <w:rsid w:val="00274A5C"/>
    <w:rsid w:val="00284EF0"/>
    <w:rsid w:val="00292E6A"/>
    <w:rsid w:val="0029339F"/>
    <w:rsid w:val="0029575B"/>
    <w:rsid w:val="002A2FBC"/>
    <w:rsid w:val="002A5421"/>
    <w:rsid w:val="002A6990"/>
    <w:rsid w:val="002C0803"/>
    <w:rsid w:val="002C1190"/>
    <w:rsid w:val="002C251C"/>
    <w:rsid w:val="002C3D7C"/>
    <w:rsid w:val="002C4A17"/>
    <w:rsid w:val="002C6386"/>
    <w:rsid w:val="002D1D42"/>
    <w:rsid w:val="002E2222"/>
    <w:rsid w:val="002E2C99"/>
    <w:rsid w:val="002E31D0"/>
    <w:rsid w:val="002E5B1D"/>
    <w:rsid w:val="002E7FF3"/>
    <w:rsid w:val="002F0C0F"/>
    <w:rsid w:val="002F11D2"/>
    <w:rsid w:val="002F20AA"/>
    <w:rsid w:val="002F3038"/>
    <w:rsid w:val="002F3221"/>
    <w:rsid w:val="002F5184"/>
    <w:rsid w:val="002F52C3"/>
    <w:rsid w:val="00301758"/>
    <w:rsid w:val="00304DB3"/>
    <w:rsid w:val="00305730"/>
    <w:rsid w:val="00310D7E"/>
    <w:rsid w:val="00310EE4"/>
    <w:rsid w:val="00312AF6"/>
    <w:rsid w:val="00314ECE"/>
    <w:rsid w:val="0031524C"/>
    <w:rsid w:val="00324493"/>
    <w:rsid w:val="00333CC3"/>
    <w:rsid w:val="00335E15"/>
    <w:rsid w:val="0034196D"/>
    <w:rsid w:val="003422CB"/>
    <w:rsid w:val="003438D8"/>
    <w:rsid w:val="00343A5F"/>
    <w:rsid w:val="003462A4"/>
    <w:rsid w:val="00346453"/>
    <w:rsid w:val="00346C6E"/>
    <w:rsid w:val="00350FEC"/>
    <w:rsid w:val="00352029"/>
    <w:rsid w:val="00352AA4"/>
    <w:rsid w:val="00354579"/>
    <w:rsid w:val="00354D69"/>
    <w:rsid w:val="003556DE"/>
    <w:rsid w:val="00356F00"/>
    <w:rsid w:val="003619A4"/>
    <w:rsid w:val="00362306"/>
    <w:rsid w:val="003647A3"/>
    <w:rsid w:val="00365048"/>
    <w:rsid w:val="0036747E"/>
    <w:rsid w:val="00375854"/>
    <w:rsid w:val="00377481"/>
    <w:rsid w:val="003779D2"/>
    <w:rsid w:val="003803AC"/>
    <w:rsid w:val="003809D9"/>
    <w:rsid w:val="00381409"/>
    <w:rsid w:val="00382ABF"/>
    <w:rsid w:val="00382FFC"/>
    <w:rsid w:val="00384256"/>
    <w:rsid w:val="00385965"/>
    <w:rsid w:val="0039090B"/>
    <w:rsid w:val="0039356E"/>
    <w:rsid w:val="00397823"/>
    <w:rsid w:val="003A1DF0"/>
    <w:rsid w:val="003A6A3A"/>
    <w:rsid w:val="003A7981"/>
    <w:rsid w:val="003A7E95"/>
    <w:rsid w:val="003B0AB7"/>
    <w:rsid w:val="003B2EC9"/>
    <w:rsid w:val="003B739C"/>
    <w:rsid w:val="003C011B"/>
    <w:rsid w:val="003C09EA"/>
    <w:rsid w:val="003C6313"/>
    <w:rsid w:val="003C647B"/>
    <w:rsid w:val="003C736A"/>
    <w:rsid w:val="003C763C"/>
    <w:rsid w:val="003D0558"/>
    <w:rsid w:val="003D4ECA"/>
    <w:rsid w:val="003D6715"/>
    <w:rsid w:val="003D7018"/>
    <w:rsid w:val="003E55B2"/>
    <w:rsid w:val="003F1F1E"/>
    <w:rsid w:val="003F3333"/>
    <w:rsid w:val="003F355E"/>
    <w:rsid w:val="003F4783"/>
    <w:rsid w:val="003F5F51"/>
    <w:rsid w:val="004019F5"/>
    <w:rsid w:val="00403593"/>
    <w:rsid w:val="00403929"/>
    <w:rsid w:val="004051E6"/>
    <w:rsid w:val="00407264"/>
    <w:rsid w:val="00414FE6"/>
    <w:rsid w:val="004164AF"/>
    <w:rsid w:val="00421155"/>
    <w:rsid w:val="0043180D"/>
    <w:rsid w:val="00431A4C"/>
    <w:rsid w:val="00431FBB"/>
    <w:rsid w:val="004363FD"/>
    <w:rsid w:val="00437BE0"/>
    <w:rsid w:val="004414A5"/>
    <w:rsid w:val="0044299D"/>
    <w:rsid w:val="00445749"/>
    <w:rsid w:val="00446C3C"/>
    <w:rsid w:val="0044700B"/>
    <w:rsid w:val="00457010"/>
    <w:rsid w:val="00460D14"/>
    <w:rsid w:val="00467171"/>
    <w:rsid w:val="00467C80"/>
    <w:rsid w:val="00470568"/>
    <w:rsid w:val="00470E95"/>
    <w:rsid w:val="00474052"/>
    <w:rsid w:val="00474438"/>
    <w:rsid w:val="00474F8A"/>
    <w:rsid w:val="00475BBE"/>
    <w:rsid w:val="004805D4"/>
    <w:rsid w:val="00486673"/>
    <w:rsid w:val="004877C5"/>
    <w:rsid w:val="004877C8"/>
    <w:rsid w:val="004901D3"/>
    <w:rsid w:val="004A4EA3"/>
    <w:rsid w:val="004A572D"/>
    <w:rsid w:val="004A5D30"/>
    <w:rsid w:val="004B5EA4"/>
    <w:rsid w:val="004B6602"/>
    <w:rsid w:val="004C20DD"/>
    <w:rsid w:val="004C4A86"/>
    <w:rsid w:val="004C531E"/>
    <w:rsid w:val="004C539F"/>
    <w:rsid w:val="004C5C6E"/>
    <w:rsid w:val="004C6C90"/>
    <w:rsid w:val="004C7ED9"/>
    <w:rsid w:val="004E1466"/>
    <w:rsid w:val="004E18F8"/>
    <w:rsid w:val="004E7A00"/>
    <w:rsid w:val="004F0929"/>
    <w:rsid w:val="004F162B"/>
    <w:rsid w:val="004F2E19"/>
    <w:rsid w:val="004F314B"/>
    <w:rsid w:val="004F3D71"/>
    <w:rsid w:val="004F6187"/>
    <w:rsid w:val="005037CD"/>
    <w:rsid w:val="00504795"/>
    <w:rsid w:val="00504D17"/>
    <w:rsid w:val="005056CE"/>
    <w:rsid w:val="0050575A"/>
    <w:rsid w:val="0051117C"/>
    <w:rsid w:val="00511733"/>
    <w:rsid w:val="00514CBA"/>
    <w:rsid w:val="005160C6"/>
    <w:rsid w:val="00516404"/>
    <w:rsid w:val="005217BB"/>
    <w:rsid w:val="00523AB4"/>
    <w:rsid w:val="0052630A"/>
    <w:rsid w:val="0053150A"/>
    <w:rsid w:val="0053177A"/>
    <w:rsid w:val="00531B27"/>
    <w:rsid w:val="00533C16"/>
    <w:rsid w:val="00533EA1"/>
    <w:rsid w:val="00537EB8"/>
    <w:rsid w:val="005457B8"/>
    <w:rsid w:val="00555E14"/>
    <w:rsid w:val="00556656"/>
    <w:rsid w:val="00563AD1"/>
    <w:rsid w:val="00563B02"/>
    <w:rsid w:val="005642BE"/>
    <w:rsid w:val="00564387"/>
    <w:rsid w:val="00565317"/>
    <w:rsid w:val="00565E26"/>
    <w:rsid w:val="0057352D"/>
    <w:rsid w:val="00574A7C"/>
    <w:rsid w:val="0057585D"/>
    <w:rsid w:val="00576690"/>
    <w:rsid w:val="005771C3"/>
    <w:rsid w:val="00577B54"/>
    <w:rsid w:val="00590F6D"/>
    <w:rsid w:val="00591A4B"/>
    <w:rsid w:val="00595066"/>
    <w:rsid w:val="00595AE3"/>
    <w:rsid w:val="005A2E12"/>
    <w:rsid w:val="005A5A6D"/>
    <w:rsid w:val="005A5ED7"/>
    <w:rsid w:val="005A7B00"/>
    <w:rsid w:val="005B0981"/>
    <w:rsid w:val="005B1E15"/>
    <w:rsid w:val="005B55DA"/>
    <w:rsid w:val="005B7C30"/>
    <w:rsid w:val="005C1A41"/>
    <w:rsid w:val="005C29B9"/>
    <w:rsid w:val="005C2BAF"/>
    <w:rsid w:val="005C4565"/>
    <w:rsid w:val="005E05CD"/>
    <w:rsid w:val="005E0CF4"/>
    <w:rsid w:val="005E31D1"/>
    <w:rsid w:val="005E37AB"/>
    <w:rsid w:val="005E3D69"/>
    <w:rsid w:val="005E4C48"/>
    <w:rsid w:val="005E5A4A"/>
    <w:rsid w:val="005F122C"/>
    <w:rsid w:val="006072D8"/>
    <w:rsid w:val="00607486"/>
    <w:rsid w:val="00610656"/>
    <w:rsid w:val="00611DDF"/>
    <w:rsid w:val="00612176"/>
    <w:rsid w:val="00612304"/>
    <w:rsid w:val="00612607"/>
    <w:rsid w:val="00615072"/>
    <w:rsid w:val="0061572F"/>
    <w:rsid w:val="00621E0B"/>
    <w:rsid w:val="00623E01"/>
    <w:rsid w:val="006278C5"/>
    <w:rsid w:val="00631441"/>
    <w:rsid w:val="00640680"/>
    <w:rsid w:val="00640F5E"/>
    <w:rsid w:val="00641030"/>
    <w:rsid w:val="00645D52"/>
    <w:rsid w:val="0065133B"/>
    <w:rsid w:val="00651441"/>
    <w:rsid w:val="00652A4A"/>
    <w:rsid w:val="00653292"/>
    <w:rsid w:val="00653527"/>
    <w:rsid w:val="00653A1B"/>
    <w:rsid w:val="00654085"/>
    <w:rsid w:val="00654FFB"/>
    <w:rsid w:val="006556AC"/>
    <w:rsid w:val="0065593A"/>
    <w:rsid w:val="006565D6"/>
    <w:rsid w:val="00657682"/>
    <w:rsid w:val="006602F1"/>
    <w:rsid w:val="00667513"/>
    <w:rsid w:val="00670ED4"/>
    <w:rsid w:val="00672928"/>
    <w:rsid w:val="00674A86"/>
    <w:rsid w:val="00680207"/>
    <w:rsid w:val="006802A7"/>
    <w:rsid w:val="00681E93"/>
    <w:rsid w:val="0068309B"/>
    <w:rsid w:val="006939EF"/>
    <w:rsid w:val="006945CA"/>
    <w:rsid w:val="006A2193"/>
    <w:rsid w:val="006A2CE4"/>
    <w:rsid w:val="006A5C4D"/>
    <w:rsid w:val="006A5CD6"/>
    <w:rsid w:val="006A69C8"/>
    <w:rsid w:val="006A6F9C"/>
    <w:rsid w:val="006B04FA"/>
    <w:rsid w:val="006B0A80"/>
    <w:rsid w:val="006B1F1E"/>
    <w:rsid w:val="006B6AE9"/>
    <w:rsid w:val="006B7F9A"/>
    <w:rsid w:val="006C0427"/>
    <w:rsid w:val="006C352D"/>
    <w:rsid w:val="006C79EA"/>
    <w:rsid w:val="006D0A4C"/>
    <w:rsid w:val="006D2247"/>
    <w:rsid w:val="006D4EF2"/>
    <w:rsid w:val="006D6163"/>
    <w:rsid w:val="006E0340"/>
    <w:rsid w:val="006E11C6"/>
    <w:rsid w:val="006E4E09"/>
    <w:rsid w:val="006E58B1"/>
    <w:rsid w:val="006E7B41"/>
    <w:rsid w:val="006F01C4"/>
    <w:rsid w:val="006F3229"/>
    <w:rsid w:val="006F3D6F"/>
    <w:rsid w:val="006F487B"/>
    <w:rsid w:val="006F4930"/>
    <w:rsid w:val="006F740B"/>
    <w:rsid w:val="0070029B"/>
    <w:rsid w:val="0070093A"/>
    <w:rsid w:val="00706E3D"/>
    <w:rsid w:val="007102CE"/>
    <w:rsid w:val="00710363"/>
    <w:rsid w:val="00714218"/>
    <w:rsid w:val="00717259"/>
    <w:rsid w:val="00721C96"/>
    <w:rsid w:val="00722082"/>
    <w:rsid w:val="00722E0C"/>
    <w:rsid w:val="00723066"/>
    <w:rsid w:val="007243CE"/>
    <w:rsid w:val="00727A92"/>
    <w:rsid w:val="00730C3C"/>
    <w:rsid w:val="00730F4D"/>
    <w:rsid w:val="007332F9"/>
    <w:rsid w:val="00734B0B"/>
    <w:rsid w:val="0073516D"/>
    <w:rsid w:val="007360BB"/>
    <w:rsid w:val="00740D37"/>
    <w:rsid w:val="00740EF3"/>
    <w:rsid w:val="007426E7"/>
    <w:rsid w:val="00744A41"/>
    <w:rsid w:val="0074554D"/>
    <w:rsid w:val="007479C9"/>
    <w:rsid w:val="00756751"/>
    <w:rsid w:val="007700A7"/>
    <w:rsid w:val="007711F4"/>
    <w:rsid w:val="00774579"/>
    <w:rsid w:val="00775A3C"/>
    <w:rsid w:val="0077781F"/>
    <w:rsid w:val="00780A41"/>
    <w:rsid w:val="00781BC7"/>
    <w:rsid w:val="00782733"/>
    <w:rsid w:val="00794787"/>
    <w:rsid w:val="0079501F"/>
    <w:rsid w:val="00796B61"/>
    <w:rsid w:val="00796E59"/>
    <w:rsid w:val="007A2EB7"/>
    <w:rsid w:val="007A37D8"/>
    <w:rsid w:val="007A60D9"/>
    <w:rsid w:val="007B0F30"/>
    <w:rsid w:val="007B3D65"/>
    <w:rsid w:val="007B6516"/>
    <w:rsid w:val="007C0866"/>
    <w:rsid w:val="007C1DCD"/>
    <w:rsid w:val="007C3D03"/>
    <w:rsid w:val="007C78B8"/>
    <w:rsid w:val="007D1EFA"/>
    <w:rsid w:val="007D26D1"/>
    <w:rsid w:val="007D5FE4"/>
    <w:rsid w:val="007D782F"/>
    <w:rsid w:val="007E07DB"/>
    <w:rsid w:val="007E3DDB"/>
    <w:rsid w:val="007E43D6"/>
    <w:rsid w:val="007E611C"/>
    <w:rsid w:val="007E7705"/>
    <w:rsid w:val="007F0B13"/>
    <w:rsid w:val="007F3297"/>
    <w:rsid w:val="007F441F"/>
    <w:rsid w:val="0080285B"/>
    <w:rsid w:val="00804A48"/>
    <w:rsid w:val="008072ED"/>
    <w:rsid w:val="00807705"/>
    <w:rsid w:val="00810C4A"/>
    <w:rsid w:val="008116A9"/>
    <w:rsid w:val="00812A30"/>
    <w:rsid w:val="008140BD"/>
    <w:rsid w:val="00814575"/>
    <w:rsid w:val="00815AC2"/>
    <w:rsid w:val="00823314"/>
    <w:rsid w:val="00831782"/>
    <w:rsid w:val="008318AE"/>
    <w:rsid w:val="008318E7"/>
    <w:rsid w:val="00832E62"/>
    <w:rsid w:val="00835BBD"/>
    <w:rsid w:val="008360D8"/>
    <w:rsid w:val="008408A1"/>
    <w:rsid w:val="008420BF"/>
    <w:rsid w:val="008441E5"/>
    <w:rsid w:val="00855DA6"/>
    <w:rsid w:val="008560DE"/>
    <w:rsid w:val="00857600"/>
    <w:rsid w:val="0086358D"/>
    <w:rsid w:val="008657F6"/>
    <w:rsid w:val="00866EE0"/>
    <w:rsid w:val="0087101B"/>
    <w:rsid w:val="00872700"/>
    <w:rsid w:val="0087369C"/>
    <w:rsid w:val="008768B8"/>
    <w:rsid w:val="00880050"/>
    <w:rsid w:val="0088053C"/>
    <w:rsid w:val="0088088E"/>
    <w:rsid w:val="00881B0F"/>
    <w:rsid w:val="0088210F"/>
    <w:rsid w:val="0088525A"/>
    <w:rsid w:val="008866FA"/>
    <w:rsid w:val="00896665"/>
    <w:rsid w:val="008A0D60"/>
    <w:rsid w:val="008A7A35"/>
    <w:rsid w:val="008B1233"/>
    <w:rsid w:val="008B4343"/>
    <w:rsid w:val="008B45C4"/>
    <w:rsid w:val="008C0C9B"/>
    <w:rsid w:val="008C1387"/>
    <w:rsid w:val="008C4ADB"/>
    <w:rsid w:val="008C4E17"/>
    <w:rsid w:val="008C5385"/>
    <w:rsid w:val="008C682F"/>
    <w:rsid w:val="008C70BB"/>
    <w:rsid w:val="008D72BB"/>
    <w:rsid w:val="008D78C4"/>
    <w:rsid w:val="008D7BCE"/>
    <w:rsid w:val="008E39E0"/>
    <w:rsid w:val="008E48ED"/>
    <w:rsid w:val="008E4C23"/>
    <w:rsid w:val="008E509B"/>
    <w:rsid w:val="008E64EF"/>
    <w:rsid w:val="008E7F8D"/>
    <w:rsid w:val="008F38B3"/>
    <w:rsid w:val="008F3D21"/>
    <w:rsid w:val="008F4811"/>
    <w:rsid w:val="008F525A"/>
    <w:rsid w:val="009026D4"/>
    <w:rsid w:val="0090440E"/>
    <w:rsid w:val="00910DA9"/>
    <w:rsid w:val="00912B73"/>
    <w:rsid w:val="00912D6B"/>
    <w:rsid w:val="0091598D"/>
    <w:rsid w:val="00921963"/>
    <w:rsid w:val="009270B3"/>
    <w:rsid w:val="0092763E"/>
    <w:rsid w:val="0092776D"/>
    <w:rsid w:val="009316A6"/>
    <w:rsid w:val="00933739"/>
    <w:rsid w:val="00935334"/>
    <w:rsid w:val="00936114"/>
    <w:rsid w:val="00936546"/>
    <w:rsid w:val="009368F0"/>
    <w:rsid w:val="009400E9"/>
    <w:rsid w:val="0094034A"/>
    <w:rsid w:val="0094085C"/>
    <w:rsid w:val="0094407D"/>
    <w:rsid w:val="00946830"/>
    <w:rsid w:val="00947540"/>
    <w:rsid w:val="00951222"/>
    <w:rsid w:val="0095491D"/>
    <w:rsid w:val="00954D98"/>
    <w:rsid w:val="0096093B"/>
    <w:rsid w:val="00962779"/>
    <w:rsid w:val="00965388"/>
    <w:rsid w:val="009654EC"/>
    <w:rsid w:val="009741CB"/>
    <w:rsid w:val="009749AC"/>
    <w:rsid w:val="009751FF"/>
    <w:rsid w:val="00982684"/>
    <w:rsid w:val="009832FD"/>
    <w:rsid w:val="00983925"/>
    <w:rsid w:val="00985EC9"/>
    <w:rsid w:val="009918D9"/>
    <w:rsid w:val="00994E30"/>
    <w:rsid w:val="00995927"/>
    <w:rsid w:val="009A1901"/>
    <w:rsid w:val="009A392D"/>
    <w:rsid w:val="009A3BB0"/>
    <w:rsid w:val="009A3FA9"/>
    <w:rsid w:val="009A79DF"/>
    <w:rsid w:val="009B0308"/>
    <w:rsid w:val="009B0B82"/>
    <w:rsid w:val="009B29B9"/>
    <w:rsid w:val="009B3E53"/>
    <w:rsid w:val="009B4C87"/>
    <w:rsid w:val="009C7751"/>
    <w:rsid w:val="009C7AF0"/>
    <w:rsid w:val="009D1073"/>
    <w:rsid w:val="009D133C"/>
    <w:rsid w:val="009D17C3"/>
    <w:rsid w:val="009D19F6"/>
    <w:rsid w:val="009D35F6"/>
    <w:rsid w:val="009D47C2"/>
    <w:rsid w:val="009D6B02"/>
    <w:rsid w:val="009E04FA"/>
    <w:rsid w:val="009E3FB6"/>
    <w:rsid w:val="009E51F8"/>
    <w:rsid w:val="009E6F25"/>
    <w:rsid w:val="009F1A69"/>
    <w:rsid w:val="009F2649"/>
    <w:rsid w:val="009F2D10"/>
    <w:rsid w:val="009F3A6D"/>
    <w:rsid w:val="00A03303"/>
    <w:rsid w:val="00A074D7"/>
    <w:rsid w:val="00A1078C"/>
    <w:rsid w:val="00A12BE6"/>
    <w:rsid w:val="00A13698"/>
    <w:rsid w:val="00A14209"/>
    <w:rsid w:val="00A15222"/>
    <w:rsid w:val="00A17D23"/>
    <w:rsid w:val="00A208E1"/>
    <w:rsid w:val="00A23218"/>
    <w:rsid w:val="00A23354"/>
    <w:rsid w:val="00A24259"/>
    <w:rsid w:val="00A271E5"/>
    <w:rsid w:val="00A279BF"/>
    <w:rsid w:val="00A33415"/>
    <w:rsid w:val="00A33D07"/>
    <w:rsid w:val="00A33D59"/>
    <w:rsid w:val="00A3541D"/>
    <w:rsid w:val="00A36D14"/>
    <w:rsid w:val="00A401CC"/>
    <w:rsid w:val="00A41734"/>
    <w:rsid w:val="00A41ACA"/>
    <w:rsid w:val="00A420E0"/>
    <w:rsid w:val="00A43D7F"/>
    <w:rsid w:val="00A516E4"/>
    <w:rsid w:val="00A521AB"/>
    <w:rsid w:val="00A541CB"/>
    <w:rsid w:val="00A56CD0"/>
    <w:rsid w:val="00A61D3E"/>
    <w:rsid w:val="00A62908"/>
    <w:rsid w:val="00A63979"/>
    <w:rsid w:val="00A640FE"/>
    <w:rsid w:val="00A7308F"/>
    <w:rsid w:val="00A7643E"/>
    <w:rsid w:val="00A8150C"/>
    <w:rsid w:val="00A83316"/>
    <w:rsid w:val="00A83538"/>
    <w:rsid w:val="00A839E2"/>
    <w:rsid w:val="00A84C76"/>
    <w:rsid w:val="00A8585E"/>
    <w:rsid w:val="00A8738A"/>
    <w:rsid w:val="00A9417F"/>
    <w:rsid w:val="00A9649E"/>
    <w:rsid w:val="00AA1341"/>
    <w:rsid w:val="00AA1C3D"/>
    <w:rsid w:val="00AA3071"/>
    <w:rsid w:val="00AA3AEB"/>
    <w:rsid w:val="00AA4977"/>
    <w:rsid w:val="00AA6D7A"/>
    <w:rsid w:val="00AA760B"/>
    <w:rsid w:val="00AB085E"/>
    <w:rsid w:val="00AB16D0"/>
    <w:rsid w:val="00AB19EC"/>
    <w:rsid w:val="00AB2762"/>
    <w:rsid w:val="00AB2C1B"/>
    <w:rsid w:val="00AB4883"/>
    <w:rsid w:val="00AB52FD"/>
    <w:rsid w:val="00AC3BF2"/>
    <w:rsid w:val="00AC4747"/>
    <w:rsid w:val="00AC4C47"/>
    <w:rsid w:val="00AC5BBA"/>
    <w:rsid w:val="00AC5BFA"/>
    <w:rsid w:val="00AC69C4"/>
    <w:rsid w:val="00AC7C93"/>
    <w:rsid w:val="00AD3F04"/>
    <w:rsid w:val="00AD5483"/>
    <w:rsid w:val="00AD6AE6"/>
    <w:rsid w:val="00AE19D3"/>
    <w:rsid w:val="00AE1B9E"/>
    <w:rsid w:val="00AE2A31"/>
    <w:rsid w:val="00AE3A9E"/>
    <w:rsid w:val="00AE7165"/>
    <w:rsid w:val="00AF0249"/>
    <w:rsid w:val="00AF150F"/>
    <w:rsid w:val="00AF3934"/>
    <w:rsid w:val="00AF4737"/>
    <w:rsid w:val="00B013C2"/>
    <w:rsid w:val="00B02F62"/>
    <w:rsid w:val="00B03ADD"/>
    <w:rsid w:val="00B03F3E"/>
    <w:rsid w:val="00B0470A"/>
    <w:rsid w:val="00B0498B"/>
    <w:rsid w:val="00B0752D"/>
    <w:rsid w:val="00B07C92"/>
    <w:rsid w:val="00B14482"/>
    <w:rsid w:val="00B2364D"/>
    <w:rsid w:val="00B24EA4"/>
    <w:rsid w:val="00B27EA8"/>
    <w:rsid w:val="00B304C6"/>
    <w:rsid w:val="00B402BF"/>
    <w:rsid w:val="00B406D4"/>
    <w:rsid w:val="00B4344C"/>
    <w:rsid w:val="00B47D32"/>
    <w:rsid w:val="00B5085F"/>
    <w:rsid w:val="00B53582"/>
    <w:rsid w:val="00B53A79"/>
    <w:rsid w:val="00B578E5"/>
    <w:rsid w:val="00B57BBD"/>
    <w:rsid w:val="00B6102F"/>
    <w:rsid w:val="00B617C3"/>
    <w:rsid w:val="00B6239D"/>
    <w:rsid w:val="00B62EBF"/>
    <w:rsid w:val="00B67630"/>
    <w:rsid w:val="00B677AD"/>
    <w:rsid w:val="00B67AE1"/>
    <w:rsid w:val="00B70453"/>
    <w:rsid w:val="00B70B18"/>
    <w:rsid w:val="00B722DE"/>
    <w:rsid w:val="00B73CF5"/>
    <w:rsid w:val="00B7658C"/>
    <w:rsid w:val="00B80CA1"/>
    <w:rsid w:val="00B80DDB"/>
    <w:rsid w:val="00B81EE1"/>
    <w:rsid w:val="00B843C2"/>
    <w:rsid w:val="00B846BF"/>
    <w:rsid w:val="00B84BBD"/>
    <w:rsid w:val="00B85681"/>
    <w:rsid w:val="00B861DA"/>
    <w:rsid w:val="00B868CA"/>
    <w:rsid w:val="00B91CD5"/>
    <w:rsid w:val="00B9392D"/>
    <w:rsid w:val="00B94848"/>
    <w:rsid w:val="00B94D23"/>
    <w:rsid w:val="00B97DBC"/>
    <w:rsid w:val="00BA0507"/>
    <w:rsid w:val="00BA19E2"/>
    <w:rsid w:val="00BA344F"/>
    <w:rsid w:val="00BA369A"/>
    <w:rsid w:val="00BA761E"/>
    <w:rsid w:val="00BA7893"/>
    <w:rsid w:val="00BA7D05"/>
    <w:rsid w:val="00BB0A70"/>
    <w:rsid w:val="00BB3FBE"/>
    <w:rsid w:val="00BB4953"/>
    <w:rsid w:val="00BB5D9A"/>
    <w:rsid w:val="00BB6D75"/>
    <w:rsid w:val="00BB7983"/>
    <w:rsid w:val="00BC361A"/>
    <w:rsid w:val="00BC538E"/>
    <w:rsid w:val="00BC603D"/>
    <w:rsid w:val="00BD354E"/>
    <w:rsid w:val="00BE186C"/>
    <w:rsid w:val="00BE340D"/>
    <w:rsid w:val="00BE3E4D"/>
    <w:rsid w:val="00BE7C42"/>
    <w:rsid w:val="00BF60F7"/>
    <w:rsid w:val="00BF6A66"/>
    <w:rsid w:val="00BF6EB8"/>
    <w:rsid w:val="00C03CE1"/>
    <w:rsid w:val="00C05F41"/>
    <w:rsid w:val="00C1276E"/>
    <w:rsid w:val="00C12D16"/>
    <w:rsid w:val="00C136F4"/>
    <w:rsid w:val="00C14044"/>
    <w:rsid w:val="00C16423"/>
    <w:rsid w:val="00C165D4"/>
    <w:rsid w:val="00C21D02"/>
    <w:rsid w:val="00C23ABF"/>
    <w:rsid w:val="00C3016F"/>
    <w:rsid w:val="00C305B9"/>
    <w:rsid w:val="00C31922"/>
    <w:rsid w:val="00C32EDF"/>
    <w:rsid w:val="00C33750"/>
    <w:rsid w:val="00C36AF9"/>
    <w:rsid w:val="00C405FD"/>
    <w:rsid w:val="00C42573"/>
    <w:rsid w:val="00C431FB"/>
    <w:rsid w:val="00C43B9C"/>
    <w:rsid w:val="00C5024A"/>
    <w:rsid w:val="00C507AF"/>
    <w:rsid w:val="00C5089F"/>
    <w:rsid w:val="00C53407"/>
    <w:rsid w:val="00C53821"/>
    <w:rsid w:val="00C57107"/>
    <w:rsid w:val="00C61A9E"/>
    <w:rsid w:val="00C62C2D"/>
    <w:rsid w:val="00C659CB"/>
    <w:rsid w:val="00C70C59"/>
    <w:rsid w:val="00C71353"/>
    <w:rsid w:val="00C75EC0"/>
    <w:rsid w:val="00C82AA2"/>
    <w:rsid w:val="00C82CA3"/>
    <w:rsid w:val="00C830B6"/>
    <w:rsid w:val="00C85DA7"/>
    <w:rsid w:val="00C9039A"/>
    <w:rsid w:val="00C9227C"/>
    <w:rsid w:val="00C93A1C"/>
    <w:rsid w:val="00C93CD4"/>
    <w:rsid w:val="00C95AEA"/>
    <w:rsid w:val="00C970F1"/>
    <w:rsid w:val="00CA0AB1"/>
    <w:rsid w:val="00CA12F1"/>
    <w:rsid w:val="00CA2740"/>
    <w:rsid w:val="00CA3BB4"/>
    <w:rsid w:val="00CA42D7"/>
    <w:rsid w:val="00CA4E34"/>
    <w:rsid w:val="00CB0B94"/>
    <w:rsid w:val="00CB110C"/>
    <w:rsid w:val="00CB1AEF"/>
    <w:rsid w:val="00CB240F"/>
    <w:rsid w:val="00CB2DB5"/>
    <w:rsid w:val="00CB4BD9"/>
    <w:rsid w:val="00CB6515"/>
    <w:rsid w:val="00CB7FE9"/>
    <w:rsid w:val="00CC01D6"/>
    <w:rsid w:val="00CC0979"/>
    <w:rsid w:val="00CC12E6"/>
    <w:rsid w:val="00CC2E25"/>
    <w:rsid w:val="00CC4150"/>
    <w:rsid w:val="00CC7681"/>
    <w:rsid w:val="00CC7C64"/>
    <w:rsid w:val="00CC7CF9"/>
    <w:rsid w:val="00CD0B47"/>
    <w:rsid w:val="00CD224C"/>
    <w:rsid w:val="00CD366A"/>
    <w:rsid w:val="00CD38CD"/>
    <w:rsid w:val="00CD483E"/>
    <w:rsid w:val="00CE1791"/>
    <w:rsid w:val="00CE345B"/>
    <w:rsid w:val="00CF27BA"/>
    <w:rsid w:val="00CF2995"/>
    <w:rsid w:val="00CF3D89"/>
    <w:rsid w:val="00CF5F1A"/>
    <w:rsid w:val="00D010E8"/>
    <w:rsid w:val="00D02C04"/>
    <w:rsid w:val="00D10E7B"/>
    <w:rsid w:val="00D138E8"/>
    <w:rsid w:val="00D14215"/>
    <w:rsid w:val="00D15268"/>
    <w:rsid w:val="00D17028"/>
    <w:rsid w:val="00D20259"/>
    <w:rsid w:val="00D208BA"/>
    <w:rsid w:val="00D21031"/>
    <w:rsid w:val="00D21668"/>
    <w:rsid w:val="00D216BC"/>
    <w:rsid w:val="00D23139"/>
    <w:rsid w:val="00D27CDA"/>
    <w:rsid w:val="00D27EDC"/>
    <w:rsid w:val="00D3277B"/>
    <w:rsid w:val="00D334D2"/>
    <w:rsid w:val="00D3446F"/>
    <w:rsid w:val="00D3797F"/>
    <w:rsid w:val="00D37AEC"/>
    <w:rsid w:val="00D37CE3"/>
    <w:rsid w:val="00D41AFF"/>
    <w:rsid w:val="00D41B61"/>
    <w:rsid w:val="00D42A22"/>
    <w:rsid w:val="00D42F8F"/>
    <w:rsid w:val="00D43E96"/>
    <w:rsid w:val="00D45ADF"/>
    <w:rsid w:val="00D55095"/>
    <w:rsid w:val="00D64DEE"/>
    <w:rsid w:val="00D656B8"/>
    <w:rsid w:val="00D674FC"/>
    <w:rsid w:val="00D71BB9"/>
    <w:rsid w:val="00D72C3C"/>
    <w:rsid w:val="00D7306E"/>
    <w:rsid w:val="00D75F94"/>
    <w:rsid w:val="00D81632"/>
    <w:rsid w:val="00D83501"/>
    <w:rsid w:val="00D84268"/>
    <w:rsid w:val="00D84468"/>
    <w:rsid w:val="00D865C7"/>
    <w:rsid w:val="00D90B69"/>
    <w:rsid w:val="00D92FEC"/>
    <w:rsid w:val="00D94302"/>
    <w:rsid w:val="00DA07F1"/>
    <w:rsid w:val="00DA6315"/>
    <w:rsid w:val="00DA6CF8"/>
    <w:rsid w:val="00DA71EC"/>
    <w:rsid w:val="00DB06E2"/>
    <w:rsid w:val="00DB0C6C"/>
    <w:rsid w:val="00DB1DCE"/>
    <w:rsid w:val="00DB3EE5"/>
    <w:rsid w:val="00DB6945"/>
    <w:rsid w:val="00DC0A86"/>
    <w:rsid w:val="00DC345F"/>
    <w:rsid w:val="00DC3865"/>
    <w:rsid w:val="00DD06F4"/>
    <w:rsid w:val="00DD47F0"/>
    <w:rsid w:val="00DD4837"/>
    <w:rsid w:val="00DD500F"/>
    <w:rsid w:val="00DD64FF"/>
    <w:rsid w:val="00DD7E5D"/>
    <w:rsid w:val="00DE3D97"/>
    <w:rsid w:val="00DE455B"/>
    <w:rsid w:val="00DE59EB"/>
    <w:rsid w:val="00DE7313"/>
    <w:rsid w:val="00DF13DA"/>
    <w:rsid w:val="00DF2E2B"/>
    <w:rsid w:val="00DF3C8B"/>
    <w:rsid w:val="00DF4603"/>
    <w:rsid w:val="00DF53E4"/>
    <w:rsid w:val="00E00EC4"/>
    <w:rsid w:val="00E022C2"/>
    <w:rsid w:val="00E05566"/>
    <w:rsid w:val="00E13049"/>
    <w:rsid w:val="00E14783"/>
    <w:rsid w:val="00E155DA"/>
    <w:rsid w:val="00E15B99"/>
    <w:rsid w:val="00E20EA6"/>
    <w:rsid w:val="00E2114F"/>
    <w:rsid w:val="00E2136E"/>
    <w:rsid w:val="00E218C2"/>
    <w:rsid w:val="00E23C0B"/>
    <w:rsid w:val="00E2464C"/>
    <w:rsid w:val="00E2595E"/>
    <w:rsid w:val="00E25AF8"/>
    <w:rsid w:val="00E31A6A"/>
    <w:rsid w:val="00E32D0F"/>
    <w:rsid w:val="00E331D1"/>
    <w:rsid w:val="00E36083"/>
    <w:rsid w:val="00E43EBA"/>
    <w:rsid w:val="00E469B8"/>
    <w:rsid w:val="00E46BDF"/>
    <w:rsid w:val="00E47A6A"/>
    <w:rsid w:val="00E52A77"/>
    <w:rsid w:val="00E547DB"/>
    <w:rsid w:val="00E555BF"/>
    <w:rsid w:val="00E57AAA"/>
    <w:rsid w:val="00E61949"/>
    <w:rsid w:val="00E63BAD"/>
    <w:rsid w:val="00E65E65"/>
    <w:rsid w:val="00E66356"/>
    <w:rsid w:val="00E67720"/>
    <w:rsid w:val="00E70DCE"/>
    <w:rsid w:val="00E72545"/>
    <w:rsid w:val="00E7379E"/>
    <w:rsid w:val="00E75B4D"/>
    <w:rsid w:val="00E75FB0"/>
    <w:rsid w:val="00E77B93"/>
    <w:rsid w:val="00E81743"/>
    <w:rsid w:val="00E86760"/>
    <w:rsid w:val="00E92682"/>
    <w:rsid w:val="00E937C3"/>
    <w:rsid w:val="00EA446A"/>
    <w:rsid w:val="00EA6BC0"/>
    <w:rsid w:val="00EA7DC1"/>
    <w:rsid w:val="00EB1D05"/>
    <w:rsid w:val="00EB5A8E"/>
    <w:rsid w:val="00EB5BA2"/>
    <w:rsid w:val="00EB5C28"/>
    <w:rsid w:val="00EB5EE1"/>
    <w:rsid w:val="00EC11A2"/>
    <w:rsid w:val="00ED0A55"/>
    <w:rsid w:val="00ED179E"/>
    <w:rsid w:val="00ED1D65"/>
    <w:rsid w:val="00ED5260"/>
    <w:rsid w:val="00ED6BF2"/>
    <w:rsid w:val="00EE3AFB"/>
    <w:rsid w:val="00EE3C17"/>
    <w:rsid w:val="00EE3E11"/>
    <w:rsid w:val="00EE5E61"/>
    <w:rsid w:val="00EE6A3F"/>
    <w:rsid w:val="00EF0D19"/>
    <w:rsid w:val="00EF1358"/>
    <w:rsid w:val="00EF1577"/>
    <w:rsid w:val="00EF2AB1"/>
    <w:rsid w:val="00EF404A"/>
    <w:rsid w:val="00EF6BD4"/>
    <w:rsid w:val="00EF788A"/>
    <w:rsid w:val="00F004BC"/>
    <w:rsid w:val="00F01FB7"/>
    <w:rsid w:val="00F0357E"/>
    <w:rsid w:val="00F05542"/>
    <w:rsid w:val="00F07618"/>
    <w:rsid w:val="00F0772B"/>
    <w:rsid w:val="00F11F69"/>
    <w:rsid w:val="00F13B21"/>
    <w:rsid w:val="00F157DD"/>
    <w:rsid w:val="00F15F90"/>
    <w:rsid w:val="00F16E65"/>
    <w:rsid w:val="00F20A70"/>
    <w:rsid w:val="00F20FF5"/>
    <w:rsid w:val="00F21465"/>
    <w:rsid w:val="00F217D1"/>
    <w:rsid w:val="00F22EB8"/>
    <w:rsid w:val="00F2594E"/>
    <w:rsid w:val="00F259B8"/>
    <w:rsid w:val="00F25E71"/>
    <w:rsid w:val="00F26362"/>
    <w:rsid w:val="00F31E86"/>
    <w:rsid w:val="00F34D97"/>
    <w:rsid w:val="00F34DEC"/>
    <w:rsid w:val="00F35995"/>
    <w:rsid w:val="00F37CB2"/>
    <w:rsid w:val="00F50045"/>
    <w:rsid w:val="00F52AA2"/>
    <w:rsid w:val="00F542CE"/>
    <w:rsid w:val="00F6065C"/>
    <w:rsid w:val="00F60E1E"/>
    <w:rsid w:val="00F61EB1"/>
    <w:rsid w:val="00F62C8B"/>
    <w:rsid w:val="00F660BF"/>
    <w:rsid w:val="00F674A0"/>
    <w:rsid w:val="00F727B1"/>
    <w:rsid w:val="00F74A64"/>
    <w:rsid w:val="00F75FEA"/>
    <w:rsid w:val="00F802D4"/>
    <w:rsid w:val="00F84504"/>
    <w:rsid w:val="00F91982"/>
    <w:rsid w:val="00F91DEA"/>
    <w:rsid w:val="00F92DF2"/>
    <w:rsid w:val="00F94281"/>
    <w:rsid w:val="00F9449D"/>
    <w:rsid w:val="00F94651"/>
    <w:rsid w:val="00F95146"/>
    <w:rsid w:val="00F96820"/>
    <w:rsid w:val="00FA1986"/>
    <w:rsid w:val="00FA2DA2"/>
    <w:rsid w:val="00FA311A"/>
    <w:rsid w:val="00FA326C"/>
    <w:rsid w:val="00FA37B8"/>
    <w:rsid w:val="00FA7126"/>
    <w:rsid w:val="00FA7692"/>
    <w:rsid w:val="00FA7E9F"/>
    <w:rsid w:val="00FB2CB1"/>
    <w:rsid w:val="00FB5E3D"/>
    <w:rsid w:val="00FB6DE8"/>
    <w:rsid w:val="00FC0737"/>
    <w:rsid w:val="00FC1AAD"/>
    <w:rsid w:val="00FC1D5A"/>
    <w:rsid w:val="00FC2F4E"/>
    <w:rsid w:val="00FC3359"/>
    <w:rsid w:val="00FC4361"/>
    <w:rsid w:val="00FC5E6D"/>
    <w:rsid w:val="00FD0D7B"/>
    <w:rsid w:val="00FD5EF5"/>
    <w:rsid w:val="00FD62FB"/>
    <w:rsid w:val="00FD6324"/>
    <w:rsid w:val="00FE024B"/>
    <w:rsid w:val="00FE0FE8"/>
    <w:rsid w:val="00FE3DB1"/>
    <w:rsid w:val="00FE48FF"/>
    <w:rsid w:val="00FE54FA"/>
    <w:rsid w:val="00FF1948"/>
    <w:rsid w:val="00FF3A23"/>
    <w:rsid w:val="00FF56AA"/>
    <w:rsid w:val="00FF5780"/>
    <w:rsid w:val="00FF7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A1F08"/>
  <w15:docId w15:val="{40E7AAF4-EC90-4C3F-90FE-BDE9DCD2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23A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0B50FA"/>
    <w:pPr>
      <w:spacing w:after="0" w:line="240" w:lineRule="exact"/>
      <w:ind w:firstLine="227"/>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0B50FA"/>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FA326C"/>
    <w:rPr>
      <w:sz w:val="16"/>
      <w:szCs w:val="16"/>
    </w:rPr>
  </w:style>
  <w:style w:type="paragraph" w:styleId="CommentText">
    <w:name w:val="annotation text"/>
    <w:basedOn w:val="Normal"/>
    <w:link w:val="CommentTextChar"/>
    <w:uiPriority w:val="99"/>
    <w:unhideWhenUsed/>
    <w:rsid w:val="00FA326C"/>
    <w:pPr>
      <w:spacing w:line="240" w:lineRule="auto"/>
    </w:pPr>
    <w:rPr>
      <w:sz w:val="20"/>
      <w:szCs w:val="20"/>
    </w:rPr>
  </w:style>
  <w:style w:type="character" w:customStyle="1" w:styleId="CommentTextChar">
    <w:name w:val="Comment Text Char"/>
    <w:basedOn w:val="DefaultParagraphFont"/>
    <w:link w:val="CommentText"/>
    <w:uiPriority w:val="99"/>
    <w:rsid w:val="00FA326C"/>
    <w:rPr>
      <w:sz w:val="20"/>
      <w:szCs w:val="20"/>
    </w:rPr>
  </w:style>
  <w:style w:type="paragraph" w:styleId="CommentSubject">
    <w:name w:val="annotation subject"/>
    <w:basedOn w:val="CommentText"/>
    <w:next w:val="CommentText"/>
    <w:link w:val="CommentSubjectChar"/>
    <w:uiPriority w:val="99"/>
    <w:semiHidden/>
    <w:unhideWhenUsed/>
    <w:rsid w:val="00FA326C"/>
    <w:rPr>
      <w:b/>
      <w:bCs/>
    </w:rPr>
  </w:style>
  <w:style w:type="character" w:customStyle="1" w:styleId="CommentSubjectChar">
    <w:name w:val="Comment Subject Char"/>
    <w:basedOn w:val="CommentTextChar"/>
    <w:link w:val="CommentSubject"/>
    <w:uiPriority w:val="99"/>
    <w:semiHidden/>
    <w:rsid w:val="00FA326C"/>
    <w:rPr>
      <w:b/>
      <w:bCs/>
      <w:sz w:val="20"/>
      <w:szCs w:val="20"/>
    </w:rPr>
  </w:style>
  <w:style w:type="paragraph" w:styleId="PlainText">
    <w:name w:val="Plain Text"/>
    <w:basedOn w:val="Normal"/>
    <w:link w:val="PlainTextChar"/>
    <w:uiPriority w:val="99"/>
    <w:unhideWhenUsed/>
    <w:rsid w:val="008140B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140BD"/>
    <w:rPr>
      <w:rFonts w:ascii="Consolas" w:hAnsi="Consolas"/>
      <w:sz w:val="21"/>
      <w:szCs w:val="21"/>
    </w:rPr>
  </w:style>
  <w:style w:type="paragraph" w:customStyle="1" w:styleId="char">
    <w:name w:val="char"/>
    <w:basedOn w:val="PlainText"/>
    <w:link w:val="charChar"/>
    <w:qFormat/>
    <w:rsid w:val="00190743"/>
    <w:rPr>
      <w:rFonts w:cstheme="minorHAnsi"/>
      <w:sz w:val="18"/>
      <w:szCs w:val="18"/>
    </w:rPr>
  </w:style>
  <w:style w:type="character" w:customStyle="1" w:styleId="charChar">
    <w:name w:val="char Char"/>
    <w:basedOn w:val="PlainTextChar"/>
    <w:link w:val="char"/>
    <w:rsid w:val="00190743"/>
    <w:rPr>
      <w:rFonts w:ascii="Consolas" w:hAnsi="Consola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3674">
      <w:bodyDiv w:val="1"/>
      <w:marLeft w:val="0"/>
      <w:marRight w:val="0"/>
      <w:marTop w:val="0"/>
      <w:marBottom w:val="0"/>
      <w:divBdr>
        <w:top w:val="none" w:sz="0" w:space="0" w:color="auto"/>
        <w:left w:val="none" w:sz="0" w:space="0" w:color="auto"/>
        <w:bottom w:val="none" w:sz="0" w:space="0" w:color="auto"/>
        <w:right w:val="none" w:sz="0" w:space="0" w:color="auto"/>
      </w:divBdr>
    </w:div>
    <w:div w:id="223874663">
      <w:bodyDiv w:val="1"/>
      <w:marLeft w:val="0"/>
      <w:marRight w:val="0"/>
      <w:marTop w:val="0"/>
      <w:marBottom w:val="0"/>
      <w:divBdr>
        <w:top w:val="none" w:sz="0" w:space="0" w:color="auto"/>
        <w:left w:val="none" w:sz="0" w:space="0" w:color="auto"/>
        <w:bottom w:val="none" w:sz="0" w:space="0" w:color="auto"/>
        <w:right w:val="none" w:sz="0" w:space="0" w:color="auto"/>
      </w:divBdr>
    </w:div>
    <w:div w:id="273290603">
      <w:bodyDiv w:val="1"/>
      <w:marLeft w:val="0"/>
      <w:marRight w:val="0"/>
      <w:marTop w:val="0"/>
      <w:marBottom w:val="0"/>
      <w:divBdr>
        <w:top w:val="none" w:sz="0" w:space="0" w:color="auto"/>
        <w:left w:val="none" w:sz="0" w:space="0" w:color="auto"/>
        <w:bottom w:val="none" w:sz="0" w:space="0" w:color="auto"/>
        <w:right w:val="none" w:sz="0" w:space="0" w:color="auto"/>
      </w:divBdr>
      <w:divsChild>
        <w:div w:id="1468935762">
          <w:marLeft w:val="0"/>
          <w:marRight w:val="0"/>
          <w:marTop w:val="90"/>
          <w:marBottom w:val="0"/>
          <w:divBdr>
            <w:top w:val="none" w:sz="0" w:space="0" w:color="auto"/>
            <w:left w:val="none" w:sz="0" w:space="0" w:color="auto"/>
            <w:bottom w:val="none" w:sz="0" w:space="0" w:color="auto"/>
            <w:right w:val="none" w:sz="0" w:space="0" w:color="auto"/>
          </w:divBdr>
          <w:divsChild>
            <w:div w:id="936719316">
              <w:marLeft w:val="0"/>
              <w:marRight w:val="0"/>
              <w:marTop w:val="0"/>
              <w:marBottom w:val="0"/>
              <w:divBdr>
                <w:top w:val="none" w:sz="0" w:space="0" w:color="auto"/>
                <w:left w:val="none" w:sz="0" w:space="0" w:color="auto"/>
                <w:bottom w:val="none" w:sz="0" w:space="0" w:color="auto"/>
                <w:right w:val="none" w:sz="0" w:space="0" w:color="auto"/>
              </w:divBdr>
              <w:divsChild>
                <w:div w:id="1318461163">
                  <w:marLeft w:val="0"/>
                  <w:marRight w:val="0"/>
                  <w:marTop w:val="0"/>
                  <w:marBottom w:val="0"/>
                  <w:divBdr>
                    <w:top w:val="none" w:sz="0" w:space="0" w:color="auto"/>
                    <w:left w:val="none" w:sz="0" w:space="0" w:color="auto"/>
                    <w:bottom w:val="none" w:sz="0" w:space="0" w:color="auto"/>
                    <w:right w:val="none" w:sz="0" w:space="0" w:color="auto"/>
                  </w:divBdr>
                  <w:divsChild>
                    <w:div w:id="1400177403">
                      <w:marLeft w:val="0"/>
                      <w:marRight w:val="0"/>
                      <w:marTop w:val="0"/>
                      <w:marBottom w:val="405"/>
                      <w:divBdr>
                        <w:top w:val="none" w:sz="0" w:space="0" w:color="auto"/>
                        <w:left w:val="none" w:sz="0" w:space="0" w:color="auto"/>
                        <w:bottom w:val="none" w:sz="0" w:space="0" w:color="auto"/>
                        <w:right w:val="none" w:sz="0" w:space="0" w:color="auto"/>
                      </w:divBdr>
                      <w:divsChild>
                        <w:div w:id="1878656846">
                          <w:marLeft w:val="0"/>
                          <w:marRight w:val="0"/>
                          <w:marTop w:val="0"/>
                          <w:marBottom w:val="0"/>
                          <w:divBdr>
                            <w:top w:val="none" w:sz="0" w:space="0" w:color="auto"/>
                            <w:left w:val="none" w:sz="0" w:space="0" w:color="auto"/>
                            <w:bottom w:val="none" w:sz="0" w:space="0" w:color="auto"/>
                            <w:right w:val="none" w:sz="0" w:space="0" w:color="auto"/>
                          </w:divBdr>
                          <w:divsChild>
                            <w:div w:id="445200257">
                              <w:marLeft w:val="0"/>
                              <w:marRight w:val="0"/>
                              <w:marTop w:val="0"/>
                              <w:marBottom w:val="0"/>
                              <w:divBdr>
                                <w:top w:val="none" w:sz="0" w:space="0" w:color="auto"/>
                                <w:left w:val="none" w:sz="0" w:space="0" w:color="auto"/>
                                <w:bottom w:val="none" w:sz="0" w:space="0" w:color="auto"/>
                                <w:right w:val="none" w:sz="0" w:space="0" w:color="auto"/>
                              </w:divBdr>
                              <w:divsChild>
                                <w:div w:id="431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00201742">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54327650">
      <w:bodyDiv w:val="1"/>
      <w:marLeft w:val="0"/>
      <w:marRight w:val="0"/>
      <w:marTop w:val="0"/>
      <w:marBottom w:val="0"/>
      <w:divBdr>
        <w:top w:val="none" w:sz="0" w:space="0" w:color="auto"/>
        <w:left w:val="none" w:sz="0" w:space="0" w:color="auto"/>
        <w:bottom w:val="none" w:sz="0" w:space="0" w:color="auto"/>
        <w:right w:val="none" w:sz="0" w:space="0" w:color="auto"/>
      </w:divBdr>
    </w:div>
    <w:div w:id="765426602">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21933940">
      <w:bodyDiv w:val="1"/>
      <w:marLeft w:val="0"/>
      <w:marRight w:val="0"/>
      <w:marTop w:val="0"/>
      <w:marBottom w:val="0"/>
      <w:divBdr>
        <w:top w:val="none" w:sz="0" w:space="0" w:color="auto"/>
        <w:left w:val="none" w:sz="0" w:space="0" w:color="auto"/>
        <w:bottom w:val="none" w:sz="0" w:space="0" w:color="auto"/>
        <w:right w:val="none" w:sz="0" w:space="0" w:color="auto"/>
      </w:divBdr>
    </w:div>
    <w:div w:id="1033266124">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5823739">
      <w:bodyDiv w:val="1"/>
      <w:marLeft w:val="0"/>
      <w:marRight w:val="0"/>
      <w:marTop w:val="0"/>
      <w:marBottom w:val="0"/>
      <w:divBdr>
        <w:top w:val="none" w:sz="0" w:space="0" w:color="auto"/>
        <w:left w:val="none" w:sz="0" w:space="0" w:color="auto"/>
        <w:bottom w:val="none" w:sz="0" w:space="0" w:color="auto"/>
        <w:right w:val="none" w:sz="0" w:space="0" w:color="auto"/>
      </w:divBdr>
    </w:div>
    <w:div w:id="134685699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Desktop/script/imidazolium/images/decomposition_point.png"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13193\Box%20Sync\PhD\Documentation\Writings\Templates\Green%20Chemistry\art-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96260-CA5A-4064-867E-A4CF1003C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art-template-1.4.dotx</Template>
  <TotalTime>685</TotalTime>
  <Pages>11</Pages>
  <Words>22906</Words>
  <Characters>130566</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153166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Damilano</dc:creator>
  <cp:keywords/>
  <dc:description/>
  <cp:lastModifiedBy>Giacomo Damilano</cp:lastModifiedBy>
  <cp:revision>68</cp:revision>
  <cp:lastPrinted>2020-05-15T08:42:00Z</cp:lastPrinted>
  <dcterms:created xsi:type="dcterms:W3CDTF">2020-01-08T21:42:00Z</dcterms:created>
  <dcterms:modified xsi:type="dcterms:W3CDTF">2020-05-18T11:13:00Z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9f5bb955-2972-3992-ba97-837608c88eb0</vt:lpwstr>
  </property>
  <property fmtid="{D5CDD505-2E9C-101B-9397-08002B2CF9AE}" pid="4" name="Mendeley Citation Style_1">
    <vt:lpwstr>http://www.zotero.org/styles/royal-society-of-chemistry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http://www.zotero.org/styles/chemical-communications</vt:lpwstr>
  </property>
  <property fmtid="{D5CDD505-2E9C-101B-9397-08002B2CF9AE}" pid="8" name="Mendeley Recent Style Name 1_1">
    <vt:lpwstr>Chemical Communications</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http://www.zotero.org/styles/green-chemistry</vt:lpwstr>
  </property>
  <property fmtid="{D5CDD505-2E9C-101B-9397-08002B2CF9AE}" pid="14" name="Mendeley Recent Style Name 4_1">
    <vt:lpwstr>Green Chemistry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http://www.zotero.org/styles/royal-society-of-chemistry</vt:lpwstr>
  </property>
  <property fmtid="{D5CDD505-2E9C-101B-9397-08002B2CF9AE}" pid="22" name="Mendeley Recent Style Name 8_1">
    <vt:lpwstr>Royal Society of Chemistry</vt:lpwstr>
  </property>
  <property fmtid="{D5CDD505-2E9C-101B-9397-08002B2CF9AE}" pid="23" name="Mendeley Recent Style Id 9_1">
    <vt:lpwstr>http://www.zotero.org/styles/royal-society-of-chemistry-with-titles</vt:lpwstr>
  </property>
  <property fmtid="{D5CDD505-2E9C-101B-9397-08002B2CF9AE}" pid="24" name="Mendeley Recent Style Name 9_1">
    <vt:lpwstr>Royal Society of Chemistry (with titles)</vt:lpwstr>
  </property>
  <property fmtid="{D5CDD505-2E9C-101B-9397-08002B2CF9AE}" pid="25" name="location">
    <vt:lpwstr>C:\Users\u0113193\Desktop\script\imidazolium\</vt:lpwstr>
  </property>
  <property fmtid="{D5CDD505-2E9C-101B-9397-08002B2CF9AE}" pid="26" name="title">
    <vt:lpwstr>One-pot synthesis of symmetric imidazolium ionic liquids N,N-disubstituted with long alkyl chains</vt:lpwstr>
  </property>
  <property fmtid="{D5CDD505-2E9C-101B-9397-08002B2CF9AE}" pid="27" name="journal">
    <vt:lpwstr>RSC Advances</vt:lpwstr>
  </property>
</Properties>
</file>